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C0C5F" w:rsidRPr="00CC0C5F" w14:paraId="2E1F6965" w14:textId="77777777" w:rsidTr="00B90C8C">
        <w:trPr>
          <w:cantSplit/>
          <w:trHeight w:hRule="exact" w:val="851"/>
        </w:trPr>
        <w:tc>
          <w:tcPr>
            <w:tcW w:w="1276" w:type="dxa"/>
            <w:tcBorders>
              <w:bottom w:val="single" w:sz="4" w:space="0" w:color="auto"/>
            </w:tcBorders>
            <w:vAlign w:val="bottom"/>
          </w:tcPr>
          <w:p w14:paraId="4AA96B44" w14:textId="77777777" w:rsidR="00B56E9C" w:rsidRPr="00CC0C5F" w:rsidRDefault="00B56E9C" w:rsidP="00B90C8C">
            <w:pPr>
              <w:spacing w:after="80"/>
            </w:pPr>
          </w:p>
        </w:tc>
        <w:tc>
          <w:tcPr>
            <w:tcW w:w="2268" w:type="dxa"/>
            <w:tcBorders>
              <w:bottom w:val="single" w:sz="4" w:space="0" w:color="auto"/>
            </w:tcBorders>
            <w:vAlign w:val="bottom"/>
          </w:tcPr>
          <w:p w14:paraId="6084F4EE" w14:textId="4A8E4C4A" w:rsidR="00B56E9C" w:rsidRPr="00CC0C5F" w:rsidRDefault="00B56E9C" w:rsidP="00B90C8C">
            <w:pPr>
              <w:spacing w:after="80" w:line="300" w:lineRule="exact"/>
              <w:rPr>
                <w:b/>
                <w:sz w:val="24"/>
                <w:szCs w:val="24"/>
              </w:rPr>
            </w:pPr>
            <w:bookmarkStart w:id="0" w:name="_GoBack"/>
            <w:bookmarkEnd w:id="0"/>
          </w:p>
        </w:tc>
        <w:tc>
          <w:tcPr>
            <w:tcW w:w="6095" w:type="dxa"/>
            <w:gridSpan w:val="2"/>
            <w:tcBorders>
              <w:bottom w:val="single" w:sz="4" w:space="0" w:color="auto"/>
            </w:tcBorders>
            <w:vAlign w:val="bottom"/>
          </w:tcPr>
          <w:p w14:paraId="67B53782" w14:textId="144AA7ED" w:rsidR="00B56E9C" w:rsidRPr="00CC0C5F" w:rsidRDefault="00A71BAF" w:rsidP="00A71BAF">
            <w:pPr>
              <w:jc w:val="right"/>
            </w:pPr>
            <w:r w:rsidRPr="00CC0C5F">
              <w:rPr>
                <w:sz w:val="40"/>
              </w:rPr>
              <w:t>CRPD</w:t>
            </w:r>
            <w:r w:rsidRPr="00CC0C5F">
              <w:t>/C/NPL/CO/1</w:t>
            </w:r>
          </w:p>
        </w:tc>
      </w:tr>
      <w:tr w:rsidR="00CC0C5F" w:rsidRPr="00CC0C5F" w14:paraId="6ADADEC8" w14:textId="77777777" w:rsidTr="00B90C8C">
        <w:trPr>
          <w:cantSplit/>
          <w:trHeight w:hRule="exact" w:val="2835"/>
        </w:trPr>
        <w:tc>
          <w:tcPr>
            <w:tcW w:w="1276" w:type="dxa"/>
            <w:tcBorders>
              <w:top w:val="single" w:sz="4" w:space="0" w:color="auto"/>
              <w:bottom w:val="single" w:sz="12" w:space="0" w:color="auto"/>
            </w:tcBorders>
          </w:tcPr>
          <w:p w14:paraId="061B0224" w14:textId="03CF1742" w:rsidR="00B56E9C" w:rsidRPr="00CC0C5F" w:rsidRDefault="00B56E9C" w:rsidP="00B90C8C">
            <w:pPr>
              <w:spacing w:before="120"/>
              <w:jc w:val="center"/>
            </w:pPr>
          </w:p>
        </w:tc>
        <w:tc>
          <w:tcPr>
            <w:tcW w:w="5528" w:type="dxa"/>
            <w:gridSpan w:val="2"/>
            <w:tcBorders>
              <w:top w:val="single" w:sz="4" w:space="0" w:color="auto"/>
              <w:bottom w:val="single" w:sz="12" w:space="0" w:color="auto"/>
            </w:tcBorders>
          </w:tcPr>
          <w:p w14:paraId="552DC644" w14:textId="047214C9" w:rsidR="00B56E9C" w:rsidRPr="00CC0C5F" w:rsidRDefault="00C67A82" w:rsidP="00B90C8C">
            <w:pPr>
              <w:spacing w:before="120" w:line="380" w:lineRule="exact"/>
              <w:rPr>
                <w:b/>
                <w:sz w:val="34"/>
                <w:szCs w:val="40"/>
              </w:rPr>
            </w:pPr>
            <w:r>
              <w:rPr>
                <w:b/>
                <w:sz w:val="34"/>
                <w:szCs w:val="40"/>
              </w:rPr>
              <w:t>Advance Unedited Version</w:t>
            </w:r>
          </w:p>
          <w:p w14:paraId="581BF877" w14:textId="77777777" w:rsidR="00B56E9C" w:rsidRPr="00CC0C5F" w:rsidRDefault="00B56E9C" w:rsidP="00B90C8C">
            <w:pPr>
              <w:spacing w:before="120" w:line="420" w:lineRule="exact"/>
            </w:pPr>
          </w:p>
        </w:tc>
        <w:tc>
          <w:tcPr>
            <w:tcW w:w="2835" w:type="dxa"/>
            <w:tcBorders>
              <w:top w:val="single" w:sz="4" w:space="0" w:color="auto"/>
              <w:bottom w:val="single" w:sz="12" w:space="0" w:color="auto"/>
            </w:tcBorders>
          </w:tcPr>
          <w:p w14:paraId="4417DE4C" w14:textId="0F18F383" w:rsidR="00B56E9C" w:rsidRPr="00CC0C5F" w:rsidRDefault="00A71BAF" w:rsidP="00A71BAF">
            <w:pPr>
              <w:spacing w:before="240" w:line="240" w:lineRule="exact"/>
            </w:pPr>
            <w:r w:rsidRPr="00CC0C5F">
              <w:t xml:space="preserve">Distr.: </w:t>
            </w:r>
            <w:r w:rsidR="0017334C">
              <w:t>General</w:t>
            </w:r>
          </w:p>
          <w:p w14:paraId="62B7E71E" w14:textId="547B7495" w:rsidR="00F77C10" w:rsidRPr="00CC0C5F" w:rsidRDefault="001A4B77" w:rsidP="00A71BAF">
            <w:pPr>
              <w:spacing w:line="240" w:lineRule="exact"/>
            </w:pPr>
            <w:r>
              <w:t>1 March</w:t>
            </w:r>
            <w:r w:rsidR="00A71BAF" w:rsidRPr="00CC0C5F">
              <w:t xml:space="preserve"> 2018</w:t>
            </w:r>
          </w:p>
          <w:p w14:paraId="53AD124A" w14:textId="77777777" w:rsidR="00ED5EB8" w:rsidRPr="00CC0C5F" w:rsidRDefault="00ED5EB8" w:rsidP="00A71BAF">
            <w:pPr>
              <w:spacing w:line="240" w:lineRule="exact"/>
            </w:pPr>
          </w:p>
          <w:p w14:paraId="442A5E1D" w14:textId="77777777" w:rsidR="00A71BAF" w:rsidRPr="00CC0C5F" w:rsidRDefault="00A71BAF" w:rsidP="00A71BAF">
            <w:pPr>
              <w:spacing w:line="240" w:lineRule="exact"/>
            </w:pPr>
            <w:r w:rsidRPr="00CC0C5F">
              <w:t>Original: English</w:t>
            </w:r>
          </w:p>
          <w:p w14:paraId="28694DD0" w14:textId="77777777" w:rsidR="006A57C5" w:rsidRPr="00CC0C5F" w:rsidRDefault="00154431" w:rsidP="00A71BAF">
            <w:pPr>
              <w:spacing w:line="240" w:lineRule="exact"/>
            </w:pPr>
            <w:r w:rsidRPr="00CC0C5F">
              <w:t>English, Russian and Spanish only</w:t>
            </w:r>
          </w:p>
        </w:tc>
      </w:tr>
    </w:tbl>
    <w:p w14:paraId="69A17DAA" w14:textId="77777777" w:rsidR="006A57C5" w:rsidRPr="00CC0C5F" w:rsidRDefault="006A57C5" w:rsidP="006A57C5">
      <w:pPr>
        <w:spacing w:before="120"/>
        <w:rPr>
          <w:b/>
          <w:sz w:val="24"/>
          <w:szCs w:val="24"/>
        </w:rPr>
      </w:pPr>
      <w:r w:rsidRPr="00CC0C5F">
        <w:rPr>
          <w:b/>
          <w:sz w:val="24"/>
          <w:szCs w:val="24"/>
        </w:rPr>
        <w:t>Committee on the Rights of Persons with Disabilities</w:t>
      </w:r>
    </w:p>
    <w:p w14:paraId="41C4A2E8" w14:textId="158A0A93" w:rsidR="006A57C5" w:rsidRPr="00CC0C5F" w:rsidRDefault="006A57C5" w:rsidP="006A57C5">
      <w:pPr>
        <w:pStyle w:val="HChG"/>
        <w:jc w:val="both"/>
        <w:rPr>
          <w:bCs/>
          <w:sz w:val="20"/>
          <w:vertAlign w:val="superscript"/>
        </w:rPr>
      </w:pPr>
      <w:r w:rsidRPr="00CC0C5F">
        <w:tab/>
      </w:r>
      <w:r w:rsidRPr="00CC0C5F">
        <w:tab/>
        <w:t>Concluding Observations in relation to the initial report of Nepal</w:t>
      </w:r>
      <w:r w:rsidR="0017334C" w:rsidRPr="00711724">
        <w:rPr>
          <w:bCs/>
          <w:sz w:val="20"/>
          <w:vertAlign w:val="superscript"/>
        </w:rPr>
        <w:footnoteReference w:customMarkFollows="1" w:id="2"/>
        <w:t>*</w:t>
      </w:r>
    </w:p>
    <w:p w14:paraId="776FDD26" w14:textId="77777777" w:rsidR="0017334C" w:rsidRPr="00AC1D26" w:rsidRDefault="0017334C" w:rsidP="0017334C">
      <w:pPr>
        <w:pStyle w:val="HChG"/>
        <w:numPr>
          <w:ilvl w:val="0"/>
          <w:numId w:val="4"/>
        </w:numPr>
      </w:pPr>
      <w:r w:rsidRPr="00AC1D26">
        <w:t>Introduction</w:t>
      </w:r>
    </w:p>
    <w:p w14:paraId="1983F1A5" w14:textId="06772BB7" w:rsidR="0017334C" w:rsidRPr="00AC1D26" w:rsidRDefault="0017334C" w:rsidP="0017334C">
      <w:pPr>
        <w:pStyle w:val="SingleTxtG"/>
        <w:numPr>
          <w:ilvl w:val="0"/>
          <w:numId w:val="10"/>
        </w:numPr>
        <w:ind w:left="1134" w:firstLine="0"/>
      </w:pPr>
      <w:r w:rsidRPr="00AC1D26">
        <w:t xml:space="preserve">The Committee considered the initial report of </w:t>
      </w:r>
      <w:r w:rsidRPr="00AC1D26">
        <w:rPr>
          <w:lang w:eastAsia="ko-KR"/>
        </w:rPr>
        <w:t>Nepal (C</w:t>
      </w:r>
      <w:r w:rsidRPr="00AC1D26">
        <w:t>RPD/C/</w:t>
      </w:r>
      <w:r w:rsidRPr="00AC1D26">
        <w:rPr>
          <w:lang w:eastAsia="ko-KR"/>
        </w:rPr>
        <w:t>NPL/</w:t>
      </w:r>
      <w:r w:rsidRPr="00AC1D26">
        <w:t>1) at its 367th</w:t>
      </w:r>
      <w:r w:rsidR="008E4899" w:rsidRPr="00AC1D26">
        <w:t xml:space="preserve"> </w:t>
      </w:r>
      <w:r w:rsidRPr="00AC1D26">
        <w:rPr>
          <w:lang w:eastAsia="ko-KR"/>
        </w:rPr>
        <w:t xml:space="preserve"> </w:t>
      </w:r>
      <w:r w:rsidRPr="00AC1D26">
        <w:t>and</w:t>
      </w:r>
      <w:r w:rsidRPr="00AC1D26">
        <w:rPr>
          <w:lang w:eastAsia="ko-KR"/>
        </w:rPr>
        <w:t xml:space="preserve"> 368th</w:t>
      </w:r>
      <w:r w:rsidRPr="00AC1D26">
        <w:t xml:space="preserve"> meetings (CRPD/C/SR.367 and CRPD/C/SR.368), held on 19 and 20 February 2018, respectively, and adopted the following concluding observations at its 382nd meeting (CRPD/C</w:t>
      </w:r>
      <w:r w:rsidR="00AC1D26" w:rsidRPr="00AC1D26">
        <w:t>/SR.382), held on 1 March 2018.</w:t>
      </w:r>
    </w:p>
    <w:p w14:paraId="75D9FDB6" w14:textId="77777777" w:rsidR="0017334C" w:rsidRPr="00AC1D26" w:rsidRDefault="0017334C" w:rsidP="0017334C">
      <w:pPr>
        <w:pStyle w:val="SingleTxtG"/>
        <w:numPr>
          <w:ilvl w:val="0"/>
          <w:numId w:val="10"/>
        </w:numPr>
        <w:ind w:left="1134" w:firstLine="0"/>
      </w:pPr>
      <w:r w:rsidRPr="00AC1D26">
        <w:t xml:space="preserve">The Committee welcomes the initial report of </w:t>
      </w:r>
      <w:r w:rsidRPr="00AC1D26">
        <w:rPr>
          <w:lang w:eastAsia="ko-KR"/>
        </w:rPr>
        <w:t>Nepal</w:t>
      </w:r>
      <w:r w:rsidRPr="00AC1D26">
        <w:t xml:space="preserve">, </w:t>
      </w:r>
      <w:r w:rsidRPr="00AC1D26">
        <w:rPr>
          <w:lang w:eastAsia="ko-KR"/>
        </w:rPr>
        <w:t xml:space="preserve">in </w:t>
      </w:r>
      <w:r w:rsidRPr="00AC1D26">
        <w:t xml:space="preserve">which </w:t>
      </w:r>
      <w:r w:rsidRPr="00AC1D26">
        <w:rPr>
          <w:lang w:eastAsia="ko-KR"/>
        </w:rPr>
        <w:t>the State party endeavoured to prepare the report</w:t>
      </w:r>
      <w:r w:rsidRPr="00AC1D26">
        <w:t xml:space="preserve"> in accordance with the Committee’s reporting guidelines, and commends the State party for the written replies (CRPD/</w:t>
      </w:r>
      <w:r w:rsidRPr="00AC1D26">
        <w:rPr>
          <w:lang w:eastAsia="ko-KR"/>
        </w:rPr>
        <w:t>NPL</w:t>
      </w:r>
      <w:r w:rsidRPr="00AC1D26">
        <w:t>/Q/1/Add.1) to the list of issues prepared by the Committee.</w:t>
      </w:r>
    </w:p>
    <w:p w14:paraId="46E726DA" w14:textId="77777777" w:rsidR="0017334C" w:rsidRPr="00AC1D26" w:rsidRDefault="0017334C" w:rsidP="0017334C">
      <w:pPr>
        <w:pStyle w:val="SingleTxtG"/>
        <w:numPr>
          <w:ilvl w:val="0"/>
          <w:numId w:val="10"/>
        </w:numPr>
        <w:ind w:left="1134" w:firstLine="0"/>
      </w:pPr>
      <w:r w:rsidRPr="00AC1D26">
        <w:t>The Committee appreciates the constructive dialogue with the State party’s high level delegation, which included representatives of relevant Government ministries and departments. The Committee commends the delegation’s frank responses to the questions that were posed by members of the Committee.</w:t>
      </w:r>
    </w:p>
    <w:p w14:paraId="2CCA5D3A" w14:textId="77777777" w:rsidR="0017334C" w:rsidRPr="00AC1D26" w:rsidRDefault="0017334C" w:rsidP="0017334C">
      <w:pPr>
        <w:pStyle w:val="HChG"/>
        <w:numPr>
          <w:ilvl w:val="0"/>
          <w:numId w:val="4"/>
        </w:numPr>
        <w:rPr>
          <w:lang w:eastAsia="ko-KR"/>
        </w:rPr>
      </w:pPr>
      <w:r w:rsidRPr="00AC1D26">
        <w:t>Positive aspects</w:t>
      </w:r>
      <w:r w:rsidRPr="00AC1D26">
        <w:rPr>
          <w:lang w:eastAsia="ko-KR"/>
        </w:rPr>
        <w:t xml:space="preserve"> </w:t>
      </w:r>
    </w:p>
    <w:p w14:paraId="6A67405A" w14:textId="66A25A0E" w:rsidR="0017334C" w:rsidRPr="00AC1D26" w:rsidRDefault="0017334C" w:rsidP="0017334C">
      <w:pPr>
        <w:pStyle w:val="SingleTxtG"/>
        <w:numPr>
          <w:ilvl w:val="0"/>
          <w:numId w:val="10"/>
        </w:numPr>
        <w:ind w:left="1134" w:firstLine="0"/>
      </w:pPr>
      <w:r w:rsidRPr="00AC1D26">
        <w:t>The</w:t>
      </w:r>
      <w:r w:rsidRPr="00AC1D26">
        <w:rPr>
          <w:lang w:eastAsia="ko-KR"/>
        </w:rPr>
        <w:t xml:space="preserve"> Committee commends the people of Nepal in </w:t>
      </w:r>
      <w:r w:rsidRPr="00AC1D26">
        <w:t>endur</w:t>
      </w:r>
      <w:r w:rsidRPr="00AC1D26">
        <w:rPr>
          <w:lang w:eastAsia="ko-KR"/>
        </w:rPr>
        <w:t xml:space="preserve">ing </w:t>
      </w:r>
      <w:r w:rsidRPr="00AC1D26">
        <w:t xml:space="preserve">a decade-long armed conflict, </w:t>
      </w:r>
      <w:r w:rsidRPr="00AC1D26">
        <w:rPr>
          <w:lang w:eastAsia="ko-KR"/>
        </w:rPr>
        <w:t>bringing it</w:t>
      </w:r>
      <w:r w:rsidRPr="00AC1D26">
        <w:t xml:space="preserve"> to an end with the signing of the Comprehensive Peace Accord (the “CPA”) on 21 November 2006. The Co</w:t>
      </w:r>
      <w:r w:rsidRPr="00AC1D26">
        <w:rPr>
          <w:lang w:eastAsia="ko-KR"/>
        </w:rPr>
        <w:t>mmittee notes that a new Co</w:t>
      </w:r>
      <w:r w:rsidRPr="00AC1D26">
        <w:t xml:space="preserve">nstitution came into force in 2015 </w:t>
      </w:r>
      <w:r w:rsidR="00271463">
        <w:t xml:space="preserve">which </w:t>
      </w:r>
      <w:r w:rsidRPr="00AC1D26">
        <w:rPr>
          <w:lang w:eastAsia="ko-KR"/>
        </w:rPr>
        <w:t xml:space="preserve">not only </w:t>
      </w:r>
      <w:r w:rsidRPr="00AC1D26">
        <w:t>reflect</w:t>
      </w:r>
      <w:r w:rsidRPr="00AC1D26">
        <w:rPr>
          <w:lang w:eastAsia="ko-KR"/>
        </w:rPr>
        <w:t>s</w:t>
      </w:r>
      <w:r w:rsidRPr="00AC1D26">
        <w:t xml:space="preserve"> the achievements of the People’s</w:t>
      </w:r>
      <w:r w:rsidRPr="00AC1D26">
        <w:rPr>
          <w:spacing w:val="-18"/>
        </w:rPr>
        <w:t xml:space="preserve"> </w:t>
      </w:r>
      <w:r w:rsidRPr="00AC1D26">
        <w:t>Movement</w:t>
      </w:r>
      <w:r w:rsidRPr="00AC1D26">
        <w:rPr>
          <w:lang w:eastAsia="ko-KR"/>
        </w:rPr>
        <w:t xml:space="preserve"> but also has </w:t>
      </w:r>
      <w:proofErr w:type="gramStart"/>
      <w:r w:rsidRPr="00AC1D26">
        <w:rPr>
          <w:lang w:eastAsia="ko-KR"/>
        </w:rPr>
        <w:t>implications</w:t>
      </w:r>
      <w:proofErr w:type="gramEnd"/>
      <w:r w:rsidRPr="00AC1D26">
        <w:rPr>
          <w:lang w:eastAsia="ko-KR"/>
        </w:rPr>
        <w:t xml:space="preserve"> for the implementation of the Convention.</w:t>
      </w:r>
    </w:p>
    <w:p w14:paraId="161CA513" w14:textId="77777777" w:rsidR="0017334C" w:rsidRPr="00AC1D26" w:rsidRDefault="0017334C" w:rsidP="0017334C">
      <w:pPr>
        <w:pStyle w:val="SingleTxtG"/>
        <w:numPr>
          <w:ilvl w:val="0"/>
          <w:numId w:val="10"/>
        </w:numPr>
        <w:ind w:left="1134" w:firstLine="0"/>
      </w:pPr>
      <w:r w:rsidRPr="00AC1D26">
        <w:rPr>
          <w:lang w:eastAsia="ko-KR"/>
        </w:rPr>
        <w:t xml:space="preserve">The Committee notes that, prior to the ratification of the Convention, </w:t>
      </w:r>
      <w:r w:rsidRPr="00AC1D26">
        <w:t xml:space="preserve">Nepal had enacted a </w:t>
      </w:r>
      <w:r w:rsidRPr="00AC1D26">
        <w:rPr>
          <w:lang w:eastAsia="ko-KR"/>
        </w:rPr>
        <w:t xml:space="preserve">number of </w:t>
      </w:r>
      <w:r w:rsidRPr="00AC1D26">
        <w:t>specific legislation</w:t>
      </w:r>
      <w:r w:rsidRPr="00AC1D26">
        <w:rPr>
          <w:lang w:eastAsia="ko-KR"/>
        </w:rPr>
        <w:t>s</w:t>
      </w:r>
      <w:r w:rsidRPr="00AC1D26">
        <w:t xml:space="preserve"> for the protection and promotion of the rights of persons with disabilities </w:t>
      </w:r>
      <w:r w:rsidRPr="00AC1D26">
        <w:rPr>
          <w:lang w:eastAsia="ko-KR"/>
        </w:rPr>
        <w:t xml:space="preserve">such as </w:t>
      </w:r>
      <w:r w:rsidRPr="00AC1D26">
        <w:t>the Disabled Protection and Welfare Act, 1982 (the “DPW Act”), and the Disabled Protection and Welfare Regulation (the “DPW Regulation 1982 DPW Act and DPW Regulation 1994</w:t>
      </w:r>
      <w:r w:rsidRPr="00AC1D26">
        <w:rPr>
          <w:lang w:eastAsia="ko-KR"/>
        </w:rPr>
        <w:t>).</w:t>
      </w:r>
      <w:r w:rsidRPr="00AC1D26">
        <w:t xml:space="preserve"> </w:t>
      </w:r>
      <w:r w:rsidRPr="00AC1D26">
        <w:rPr>
          <w:lang w:eastAsia="ko-KR"/>
        </w:rPr>
        <w:t xml:space="preserve">The </w:t>
      </w:r>
      <w:r w:rsidRPr="00AC1D26">
        <w:t>C</w:t>
      </w:r>
      <w:r w:rsidRPr="00AC1D26">
        <w:rPr>
          <w:lang w:eastAsia="ko-KR"/>
        </w:rPr>
        <w:t>ommittee commends the State party that it is currently in the process of revising its</w:t>
      </w:r>
      <w:r w:rsidRPr="00AC1D26">
        <w:t xml:space="preserve"> domestic legislation to bring it into full compliance with the Convention</w:t>
      </w:r>
      <w:r w:rsidRPr="00AC1D26">
        <w:rPr>
          <w:lang w:eastAsia="ko-KR"/>
        </w:rPr>
        <w:t xml:space="preserve">. In particular, the Committee commends the enactment of the Disability Rights Act of 2017, and the adoption of the </w:t>
      </w:r>
      <w:r w:rsidRPr="00AC1D26">
        <w:t>Thirteenth Plan (2013–2016)</w:t>
      </w:r>
      <w:r w:rsidRPr="00AC1D26">
        <w:rPr>
          <w:lang w:eastAsia="ko-KR"/>
        </w:rPr>
        <w:t xml:space="preserve"> as a key strategy to implement the rights in the Convention.</w:t>
      </w:r>
    </w:p>
    <w:p w14:paraId="63F57E5A" w14:textId="6BC457B5" w:rsidR="0017334C" w:rsidRPr="00AC1D26" w:rsidRDefault="0017334C" w:rsidP="00A2600F">
      <w:pPr>
        <w:pStyle w:val="SingleTxtG"/>
        <w:keepNext/>
        <w:keepLines/>
        <w:numPr>
          <w:ilvl w:val="0"/>
          <w:numId w:val="10"/>
        </w:numPr>
        <w:ind w:left="1134" w:firstLine="0"/>
        <w:rPr>
          <w:lang w:eastAsia="ko-KR"/>
        </w:rPr>
      </w:pPr>
      <w:r w:rsidRPr="00AC1D26">
        <w:rPr>
          <w:lang w:eastAsia="ko-KR"/>
        </w:rPr>
        <w:lastRenderedPageBreak/>
        <w:t xml:space="preserve">The Committee commends the efforts of the State party in the preparation process of the report by bringing together a </w:t>
      </w:r>
      <w:r w:rsidRPr="00AC1D26">
        <w:t xml:space="preserve">cross sectoral representation of agencies led by the Ministry of Women, Children and Social Welfare (the “MOWCSW”) </w:t>
      </w:r>
      <w:r w:rsidRPr="00AC1D26">
        <w:rPr>
          <w:lang w:eastAsia="ko-KR"/>
        </w:rPr>
        <w:t>and also</w:t>
      </w:r>
      <w:r w:rsidRPr="00AC1D26">
        <w:t xml:space="preserve"> holding consultations with a range of stakeholders</w:t>
      </w:r>
      <w:r w:rsidRPr="00AC1D26">
        <w:rPr>
          <w:lang w:eastAsia="ko-KR"/>
        </w:rPr>
        <w:t xml:space="preserve"> represented by various government ministries, including the Office of the Prime M</w:t>
      </w:r>
      <w:r w:rsidR="00AC1D26" w:rsidRPr="00AC1D26">
        <w:rPr>
          <w:lang w:eastAsia="ko-KR"/>
        </w:rPr>
        <w:t>inister.</w:t>
      </w:r>
    </w:p>
    <w:p w14:paraId="649E1324" w14:textId="7782732A" w:rsidR="00F77C10" w:rsidRPr="00AC1D26" w:rsidRDefault="00ED5EB8" w:rsidP="00ED5EB8">
      <w:pPr>
        <w:pStyle w:val="HChG"/>
      </w:pPr>
      <w:r w:rsidRPr="00AC1D26">
        <w:tab/>
      </w:r>
      <w:r w:rsidR="00F77C10" w:rsidRPr="00AC1D26">
        <w:t>III.</w:t>
      </w:r>
      <w:r w:rsidRPr="00AC1D26">
        <w:tab/>
      </w:r>
      <w:r w:rsidR="00F77C10" w:rsidRPr="00AC1D26">
        <w:t>Principal areas of concern and recommendations</w:t>
      </w:r>
    </w:p>
    <w:p w14:paraId="1F513967" w14:textId="34F85406" w:rsidR="00F77C10" w:rsidRPr="00AC1D26" w:rsidRDefault="00ED5EB8" w:rsidP="00ED5EB8">
      <w:pPr>
        <w:pStyle w:val="H1G"/>
        <w:rPr>
          <w:lang w:eastAsia="ko-KR"/>
        </w:rPr>
      </w:pPr>
      <w:r w:rsidRPr="00AC1D26">
        <w:tab/>
        <w:t>A</w:t>
      </w:r>
      <w:r w:rsidRPr="00AC1D26">
        <w:tab/>
      </w:r>
      <w:r w:rsidR="00F77C10" w:rsidRPr="00AC1D26">
        <w:t>General principles and obligations (arts. 1–4)</w:t>
      </w:r>
    </w:p>
    <w:p w14:paraId="0A13D86C" w14:textId="6788D030" w:rsidR="00F77C10" w:rsidRPr="00AC1D26" w:rsidRDefault="00F77C10" w:rsidP="00C86824">
      <w:pPr>
        <w:pStyle w:val="SingleTxtG"/>
        <w:numPr>
          <w:ilvl w:val="0"/>
          <w:numId w:val="10"/>
        </w:numPr>
        <w:ind w:left="1134" w:firstLine="0"/>
        <w:rPr>
          <w:lang w:eastAsia="ko-KR"/>
        </w:rPr>
      </w:pPr>
      <w:r w:rsidRPr="00AC1D26">
        <w:t>The</w:t>
      </w:r>
      <w:r w:rsidRPr="00AC1D26">
        <w:rPr>
          <w:lang w:eastAsia="ko-KR"/>
        </w:rPr>
        <w:t xml:space="preserve"> Committee is concerned that the State party </w:t>
      </w:r>
      <w:r w:rsidR="00362C0D" w:rsidRPr="00AC1D26">
        <w:rPr>
          <w:lang w:eastAsia="ko-KR"/>
        </w:rPr>
        <w:t xml:space="preserve">tends to </w:t>
      </w:r>
      <w:r w:rsidRPr="00AC1D26">
        <w:rPr>
          <w:lang w:eastAsia="ko-KR"/>
        </w:rPr>
        <w:t xml:space="preserve">adhere to the World Health Organisation (WHO) definition of disability with a focus on conditions arising from inherent personal or medical limitations, </w:t>
      </w:r>
      <w:r w:rsidR="00362C0D" w:rsidRPr="00AC1D26">
        <w:rPr>
          <w:lang w:eastAsia="ko-KR"/>
        </w:rPr>
        <w:t>thereby</w:t>
      </w:r>
      <w:r w:rsidRPr="00AC1D26">
        <w:rPr>
          <w:lang w:eastAsia="ko-KR"/>
        </w:rPr>
        <w:t xml:space="preserve"> overlook</w:t>
      </w:r>
      <w:r w:rsidR="00362C0D" w:rsidRPr="00AC1D26">
        <w:rPr>
          <w:lang w:eastAsia="ko-KR"/>
        </w:rPr>
        <w:t>ing</w:t>
      </w:r>
      <w:r w:rsidRPr="00AC1D26">
        <w:rPr>
          <w:lang w:eastAsia="ko-KR"/>
        </w:rPr>
        <w:t xml:space="preserve"> interactions with environmental factors. While the Convention recognizes an evolving concept of disability, the State party appears to be trapped by the concept of ‘permanent disability’. </w:t>
      </w:r>
      <w:r w:rsidR="00362C0D" w:rsidRPr="00AC1D26">
        <w:rPr>
          <w:lang w:eastAsia="ko-KR"/>
        </w:rPr>
        <w:t>T</w:t>
      </w:r>
      <w:r w:rsidRPr="00AC1D26">
        <w:rPr>
          <w:lang w:eastAsia="ko-KR"/>
        </w:rPr>
        <w:t xml:space="preserve">he Committee is concerned that the State party </w:t>
      </w:r>
      <w:r w:rsidR="00D34E19" w:rsidRPr="00AC1D26">
        <w:rPr>
          <w:lang w:eastAsia="ko-KR"/>
        </w:rPr>
        <w:t xml:space="preserve">still uses </w:t>
      </w:r>
      <w:r w:rsidR="00287210" w:rsidRPr="00AC1D26">
        <w:rPr>
          <w:lang w:eastAsia="ko-KR"/>
        </w:rPr>
        <w:t>a</w:t>
      </w:r>
      <w:r w:rsidR="00362C0D" w:rsidRPr="00AC1D26">
        <w:rPr>
          <w:lang w:eastAsia="ko-KR"/>
        </w:rPr>
        <w:t xml:space="preserve"> classif</w:t>
      </w:r>
      <w:r w:rsidR="00287210" w:rsidRPr="00AC1D26">
        <w:rPr>
          <w:lang w:eastAsia="ko-KR"/>
        </w:rPr>
        <w:t xml:space="preserve">ication of </w:t>
      </w:r>
      <w:r w:rsidRPr="00AC1D26">
        <w:rPr>
          <w:lang w:eastAsia="ko-KR"/>
        </w:rPr>
        <w:t xml:space="preserve">disability </w:t>
      </w:r>
      <w:r w:rsidR="00287210" w:rsidRPr="00AC1D26">
        <w:rPr>
          <w:lang w:eastAsia="ko-KR"/>
        </w:rPr>
        <w:t>that</w:t>
      </w:r>
      <w:r w:rsidR="005D6B3D" w:rsidRPr="00AC1D26">
        <w:rPr>
          <w:lang w:eastAsia="ko-KR"/>
        </w:rPr>
        <w:t xml:space="preserve"> exclude</w:t>
      </w:r>
      <w:r w:rsidR="00287210" w:rsidRPr="00AC1D26">
        <w:rPr>
          <w:lang w:eastAsia="ko-KR"/>
        </w:rPr>
        <w:t>s</w:t>
      </w:r>
      <w:r w:rsidR="005D6B3D" w:rsidRPr="00AC1D26">
        <w:rPr>
          <w:lang w:eastAsia="ko-KR"/>
        </w:rPr>
        <w:t xml:space="preserve"> certain groups of persons with disabilities who do not fall in any of these categories</w:t>
      </w:r>
      <w:r w:rsidR="007769B9" w:rsidRPr="00AC1D26">
        <w:rPr>
          <w:lang w:eastAsia="ko-KR"/>
        </w:rPr>
        <w:t xml:space="preserve"> such </w:t>
      </w:r>
      <w:r w:rsidR="00362C0D" w:rsidRPr="00AC1D26">
        <w:rPr>
          <w:lang w:eastAsia="ko-KR"/>
        </w:rPr>
        <w:t>those who are</w:t>
      </w:r>
      <w:r w:rsidR="00287210" w:rsidRPr="00AC1D26">
        <w:rPr>
          <w:lang w:eastAsia="ko-KR"/>
        </w:rPr>
        <w:t xml:space="preserve"> </w:t>
      </w:r>
      <w:r w:rsidR="007769B9" w:rsidRPr="00AC1D26">
        <w:rPr>
          <w:lang w:eastAsia="ko-KR"/>
        </w:rPr>
        <w:t>hard of hearing</w:t>
      </w:r>
      <w:r w:rsidRPr="00AC1D26">
        <w:rPr>
          <w:lang w:eastAsia="ko-KR"/>
        </w:rPr>
        <w:t>.</w:t>
      </w:r>
      <w:r w:rsidR="000B19D3" w:rsidRPr="00AC1D26">
        <w:rPr>
          <w:lang w:eastAsia="ko-KR"/>
        </w:rPr>
        <w:t xml:space="preserve"> The Committee is also concerned that persons with disabilities from rural areas and indigenous backgrounds face barriers </w:t>
      </w:r>
      <w:r w:rsidR="004953E8" w:rsidRPr="00AC1D26">
        <w:rPr>
          <w:lang w:eastAsia="ko-KR"/>
        </w:rPr>
        <w:t>in</w:t>
      </w:r>
      <w:r w:rsidR="000B19D3" w:rsidRPr="00AC1D26">
        <w:rPr>
          <w:lang w:eastAsia="ko-KR"/>
        </w:rPr>
        <w:t xml:space="preserve"> access</w:t>
      </w:r>
      <w:r w:rsidR="004953E8" w:rsidRPr="00AC1D26">
        <w:rPr>
          <w:lang w:eastAsia="ko-KR"/>
        </w:rPr>
        <w:t>ing</w:t>
      </w:r>
      <w:r w:rsidR="000B19D3" w:rsidRPr="00AC1D26">
        <w:rPr>
          <w:lang w:eastAsia="ko-KR"/>
        </w:rPr>
        <w:t xml:space="preserve"> disability </w:t>
      </w:r>
      <w:r w:rsidR="004953E8" w:rsidRPr="00AC1D26">
        <w:rPr>
          <w:lang w:eastAsia="ko-KR"/>
        </w:rPr>
        <w:t xml:space="preserve">identity </w:t>
      </w:r>
      <w:r w:rsidR="000B19D3" w:rsidRPr="00AC1D26">
        <w:rPr>
          <w:lang w:eastAsia="ko-KR"/>
        </w:rPr>
        <w:t>cards.</w:t>
      </w:r>
    </w:p>
    <w:p w14:paraId="36625CF5" w14:textId="7DAB2196" w:rsidR="00F77C10" w:rsidRPr="00AC1D26" w:rsidRDefault="00F77C10" w:rsidP="00C86824">
      <w:pPr>
        <w:pStyle w:val="SingleTxtG"/>
        <w:numPr>
          <w:ilvl w:val="0"/>
          <w:numId w:val="10"/>
        </w:numPr>
        <w:ind w:left="1134" w:firstLine="0"/>
        <w:rPr>
          <w:b/>
          <w:lang w:eastAsia="ko-KR"/>
        </w:rPr>
      </w:pPr>
      <w:r w:rsidRPr="00AC1D26">
        <w:rPr>
          <w:b/>
          <w:lang w:eastAsia="ko-KR"/>
        </w:rPr>
        <w:t xml:space="preserve">The Committee recommends that the State party </w:t>
      </w:r>
      <w:r w:rsidR="00D34E19" w:rsidRPr="00AC1D26">
        <w:rPr>
          <w:b/>
          <w:lang w:eastAsia="ko-KR"/>
        </w:rPr>
        <w:t xml:space="preserve">adopt a </w:t>
      </w:r>
      <w:r w:rsidRPr="00AC1D26">
        <w:rPr>
          <w:b/>
          <w:lang w:eastAsia="ko-KR"/>
        </w:rPr>
        <w:t>human rights model of disability that stress</w:t>
      </w:r>
      <w:r w:rsidR="00D34E19" w:rsidRPr="00AC1D26">
        <w:rPr>
          <w:b/>
          <w:lang w:eastAsia="ko-KR"/>
        </w:rPr>
        <w:t>es</w:t>
      </w:r>
      <w:r w:rsidRPr="00AC1D26">
        <w:rPr>
          <w:b/>
          <w:lang w:eastAsia="ko-KR"/>
        </w:rPr>
        <w:t xml:space="preserve"> human dignity of persons with disabilities and conditions arising from interactions with various barriers that may hinder their full and effective participation in society on an equal basis with others. </w:t>
      </w:r>
      <w:r w:rsidR="007769B9" w:rsidRPr="00AC1D26">
        <w:rPr>
          <w:b/>
          <w:lang w:eastAsia="ko-KR"/>
        </w:rPr>
        <w:t xml:space="preserve">In this regard, the State party should ensure that the classification of disability </w:t>
      </w:r>
      <w:r w:rsidR="00287210" w:rsidRPr="00AC1D26">
        <w:rPr>
          <w:b/>
          <w:lang w:eastAsia="ko-KR"/>
        </w:rPr>
        <w:t xml:space="preserve">is </w:t>
      </w:r>
      <w:r w:rsidR="007769B9" w:rsidRPr="00AC1D26">
        <w:rPr>
          <w:b/>
          <w:lang w:eastAsia="ko-KR"/>
        </w:rPr>
        <w:t xml:space="preserve">human rights based </w:t>
      </w:r>
      <w:r w:rsidR="00287210" w:rsidRPr="00AC1D26">
        <w:rPr>
          <w:b/>
          <w:lang w:eastAsia="ko-KR"/>
        </w:rPr>
        <w:t>and</w:t>
      </w:r>
      <w:r w:rsidR="007769B9" w:rsidRPr="00AC1D26">
        <w:rPr>
          <w:b/>
          <w:lang w:eastAsia="ko-KR"/>
        </w:rPr>
        <w:t xml:space="preserve"> does not exclude certain groups of persons with disabilities</w:t>
      </w:r>
      <w:r w:rsidR="000B19D3" w:rsidRPr="00AC1D26">
        <w:rPr>
          <w:b/>
          <w:lang w:eastAsia="ko-KR"/>
        </w:rPr>
        <w:t xml:space="preserve">. The State party should take </w:t>
      </w:r>
      <w:r w:rsidR="004953E8" w:rsidRPr="00AC1D26">
        <w:rPr>
          <w:b/>
          <w:lang w:eastAsia="ko-KR"/>
        </w:rPr>
        <w:t xml:space="preserve">appropriate </w:t>
      </w:r>
      <w:r w:rsidR="000B19D3" w:rsidRPr="00AC1D26">
        <w:rPr>
          <w:b/>
          <w:lang w:eastAsia="ko-KR"/>
        </w:rPr>
        <w:t xml:space="preserve">measures to remove all barriers to ensure that persons with disabilities </w:t>
      </w:r>
      <w:r w:rsidR="00287210" w:rsidRPr="00AC1D26">
        <w:rPr>
          <w:b/>
          <w:lang w:eastAsia="ko-KR"/>
        </w:rPr>
        <w:t>from rural areas and indigenous background</w:t>
      </w:r>
      <w:r w:rsidR="000B19D3" w:rsidRPr="00AC1D26">
        <w:rPr>
          <w:b/>
          <w:lang w:eastAsia="ko-KR"/>
        </w:rPr>
        <w:t>s have access to</w:t>
      </w:r>
      <w:r w:rsidR="007769B9" w:rsidRPr="00AC1D26">
        <w:rPr>
          <w:b/>
          <w:lang w:eastAsia="ko-KR"/>
        </w:rPr>
        <w:t xml:space="preserve"> disability identity cards.</w:t>
      </w:r>
    </w:p>
    <w:p w14:paraId="769505E8" w14:textId="7EF9F443" w:rsidR="00F77C10" w:rsidRPr="00AC1D26" w:rsidRDefault="00ED5EB8" w:rsidP="00ED5EB8">
      <w:pPr>
        <w:pStyle w:val="H1G"/>
      </w:pPr>
      <w:r w:rsidRPr="00AC1D26">
        <w:tab/>
        <w:t>B</w:t>
      </w:r>
      <w:r w:rsidRPr="00AC1D26">
        <w:tab/>
      </w:r>
      <w:r w:rsidR="00F77C10" w:rsidRPr="00AC1D26">
        <w:t>Specific rights (arts. 5–30)</w:t>
      </w:r>
    </w:p>
    <w:p w14:paraId="4E108C7E" w14:textId="2B065815" w:rsidR="00F77C10" w:rsidRPr="00AC1D26" w:rsidRDefault="00ED5EB8" w:rsidP="00ED5EB8">
      <w:pPr>
        <w:pStyle w:val="H23G"/>
        <w:rPr>
          <w:lang w:eastAsia="ko-KR"/>
        </w:rPr>
      </w:pPr>
      <w:r w:rsidRPr="00AC1D26">
        <w:tab/>
      </w:r>
      <w:r w:rsidRPr="00AC1D26">
        <w:tab/>
      </w:r>
      <w:r w:rsidR="00F77C10" w:rsidRPr="00AC1D26">
        <w:t>Equality and non-discrimination (art. 5)</w:t>
      </w:r>
      <w:r w:rsidR="00F77C10" w:rsidRPr="00AC1D26">
        <w:rPr>
          <w:lang w:eastAsia="ko-KR"/>
        </w:rPr>
        <w:t xml:space="preserve"> </w:t>
      </w:r>
    </w:p>
    <w:p w14:paraId="6BEA974F" w14:textId="24FEB0FE" w:rsidR="00F77C10" w:rsidRPr="00AC1D26" w:rsidRDefault="009E6225" w:rsidP="00C86824">
      <w:pPr>
        <w:pStyle w:val="SingleTxtG"/>
        <w:numPr>
          <w:ilvl w:val="0"/>
          <w:numId w:val="10"/>
        </w:numPr>
        <w:ind w:left="1134" w:firstLine="0"/>
        <w:rPr>
          <w:b/>
          <w:spacing w:val="1"/>
          <w:lang w:val="en-US" w:eastAsia="ko-KR"/>
        </w:rPr>
      </w:pPr>
      <w:r w:rsidRPr="00AC1D26">
        <w:rPr>
          <w:lang w:eastAsia="ko-KR"/>
        </w:rPr>
        <w:t>While noting that the</w:t>
      </w:r>
      <w:r w:rsidR="00F77C10" w:rsidRPr="00AC1D26">
        <w:rPr>
          <w:lang w:eastAsia="ko-KR"/>
        </w:rPr>
        <w:t xml:space="preserve"> Constitution</w:t>
      </w:r>
      <w:r w:rsidR="00F77C10" w:rsidRPr="00AC1D26">
        <w:rPr>
          <w:sz w:val="24"/>
          <w:lang w:eastAsia="ko-KR"/>
        </w:rPr>
        <w:t xml:space="preserve"> </w:t>
      </w:r>
      <w:r w:rsidR="00F77C10" w:rsidRPr="00AC1D26">
        <w:t>prohibits discrimination</w:t>
      </w:r>
      <w:r w:rsidR="00F77C10" w:rsidRPr="00AC1D26">
        <w:rPr>
          <w:sz w:val="24"/>
          <w:lang w:eastAsia="ko-KR"/>
        </w:rPr>
        <w:t xml:space="preserve"> </w:t>
      </w:r>
      <w:r w:rsidR="00F77C10" w:rsidRPr="00AC1D26">
        <w:rPr>
          <w:lang w:val="en-US" w:eastAsia="ko-KR"/>
        </w:rPr>
        <w:t>of persons with disabilities</w:t>
      </w:r>
      <w:r w:rsidR="005D6B3D" w:rsidRPr="00AC1D26">
        <w:rPr>
          <w:lang w:val="en-US" w:eastAsia="ko-KR"/>
        </w:rPr>
        <w:t xml:space="preserve">, the Committee is concerned that persons with disabilities still </w:t>
      </w:r>
      <w:r w:rsidR="00F02F65" w:rsidRPr="00AC1D26">
        <w:rPr>
          <w:lang w:val="en-US" w:eastAsia="ko-KR"/>
        </w:rPr>
        <w:t xml:space="preserve">face </w:t>
      </w:r>
      <w:r w:rsidR="00F77C10" w:rsidRPr="00AC1D26">
        <w:rPr>
          <w:lang w:val="en-US" w:eastAsia="ko-KR"/>
        </w:rPr>
        <w:t xml:space="preserve">multiple </w:t>
      </w:r>
      <w:r w:rsidR="005D6B3D" w:rsidRPr="00AC1D26">
        <w:rPr>
          <w:lang w:val="en-US" w:eastAsia="ko-KR"/>
        </w:rPr>
        <w:t xml:space="preserve">and intersectional </w:t>
      </w:r>
      <w:r w:rsidR="00F77C10" w:rsidRPr="00AC1D26">
        <w:rPr>
          <w:lang w:val="en-US" w:eastAsia="ko-KR"/>
        </w:rPr>
        <w:t>forms of discrimination on other grounds such as caste, and ethnicity,</w:t>
      </w:r>
      <w:r w:rsidR="0041562B" w:rsidRPr="00AC1D26">
        <w:rPr>
          <w:lang w:val="en-US" w:eastAsia="ko-KR"/>
        </w:rPr>
        <w:t xml:space="preserve"> </w:t>
      </w:r>
      <w:r w:rsidR="00F77C10" w:rsidRPr="00AC1D26">
        <w:rPr>
          <w:lang w:val="en-US" w:eastAsia="ko-KR"/>
        </w:rPr>
        <w:t xml:space="preserve">in particular </w:t>
      </w:r>
      <w:r w:rsidR="00F77C10" w:rsidRPr="00AC1D26">
        <w:t xml:space="preserve">women </w:t>
      </w:r>
      <w:r w:rsidR="005D6B3D" w:rsidRPr="00AC1D26">
        <w:t xml:space="preserve">and girls </w:t>
      </w:r>
      <w:r w:rsidR="00F77C10" w:rsidRPr="00AC1D26">
        <w:t xml:space="preserve">with intellectual </w:t>
      </w:r>
      <w:r w:rsidR="00BC3EF2" w:rsidRPr="00AC1D26">
        <w:rPr>
          <w:lang w:eastAsia="ko-KR"/>
        </w:rPr>
        <w:t>and/</w:t>
      </w:r>
      <w:r w:rsidR="00F77C10" w:rsidRPr="00AC1D26">
        <w:rPr>
          <w:lang w:eastAsia="ko-KR"/>
        </w:rPr>
        <w:t>or</w:t>
      </w:r>
      <w:r w:rsidR="00F77C10" w:rsidRPr="00AC1D26">
        <w:t xml:space="preserve"> psychosocial disabilities</w:t>
      </w:r>
      <w:r w:rsidR="00BC3EF2" w:rsidRPr="00AC1D26">
        <w:t>, autistic persons,</w:t>
      </w:r>
      <w:r w:rsidR="00F77C10" w:rsidRPr="00AC1D26">
        <w:t xml:space="preserve"> </w:t>
      </w:r>
      <w:r w:rsidR="00BC3EF2" w:rsidRPr="00AC1D26">
        <w:t xml:space="preserve">persons </w:t>
      </w:r>
      <w:r w:rsidR="00F77C10" w:rsidRPr="00AC1D26">
        <w:t>from ethnic, Dalit, Madhesi and Muslim communities</w:t>
      </w:r>
      <w:r w:rsidR="00F77C10" w:rsidRPr="00AC1D26">
        <w:rPr>
          <w:lang w:eastAsia="ko-KR"/>
        </w:rPr>
        <w:t>.</w:t>
      </w:r>
    </w:p>
    <w:p w14:paraId="4DB5BC62" w14:textId="2BBB6F21" w:rsidR="009E6225" w:rsidRPr="00AC1D26" w:rsidRDefault="00F77C10" w:rsidP="00FA17F8">
      <w:pPr>
        <w:pStyle w:val="SingleTxtG"/>
        <w:numPr>
          <w:ilvl w:val="0"/>
          <w:numId w:val="10"/>
        </w:numPr>
        <w:ind w:left="1134" w:firstLine="0"/>
        <w:rPr>
          <w:b/>
          <w:lang w:eastAsia="ko-KR"/>
        </w:rPr>
      </w:pPr>
      <w:r w:rsidRPr="00AC1D26">
        <w:rPr>
          <w:b/>
          <w:lang w:eastAsia="ko-KR"/>
        </w:rPr>
        <w:t xml:space="preserve">The Committee recommends that the State party </w:t>
      </w:r>
      <w:r w:rsidR="005D6B3D" w:rsidRPr="00AC1D26">
        <w:rPr>
          <w:b/>
          <w:bCs/>
          <w:lang w:eastAsia="ko-KR"/>
        </w:rPr>
        <w:t>implement existing anti-discrimination legislation, policies and programmes in order to prevent multiple and intersectional</w:t>
      </w:r>
      <w:r w:rsidR="00CD1BB1" w:rsidRPr="00AC1D26">
        <w:rPr>
          <w:b/>
          <w:bCs/>
          <w:lang w:eastAsia="ko-KR"/>
        </w:rPr>
        <w:t xml:space="preserve"> </w:t>
      </w:r>
      <w:r w:rsidR="005D6B3D" w:rsidRPr="00AC1D26">
        <w:rPr>
          <w:b/>
          <w:bCs/>
          <w:lang w:eastAsia="ko-KR"/>
        </w:rPr>
        <w:t xml:space="preserve">discrimination targeting disadvantaged groups </w:t>
      </w:r>
      <w:r w:rsidR="00755DBE" w:rsidRPr="00AC1D26">
        <w:rPr>
          <w:b/>
          <w:bCs/>
          <w:lang w:eastAsia="ko-KR"/>
        </w:rPr>
        <w:t>including</w:t>
      </w:r>
      <w:r w:rsidR="004953E8" w:rsidRPr="00AC1D26">
        <w:rPr>
          <w:b/>
          <w:bCs/>
          <w:lang w:eastAsia="ko-KR"/>
        </w:rPr>
        <w:t>,</w:t>
      </w:r>
      <w:r w:rsidR="00755DBE" w:rsidRPr="00AC1D26">
        <w:rPr>
          <w:b/>
          <w:bCs/>
          <w:lang w:eastAsia="ko-KR"/>
        </w:rPr>
        <w:t xml:space="preserve"> </w:t>
      </w:r>
      <w:r w:rsidR="00BC3EF2" w:rsidRPr="00AC1D26">
        <w:rPr>
          <w:b/>
          <w:bCs/>
          <w:lang w:eastAsia="ko-KR"/>
        </w:rPr>
        <w:t xml:space="preserve">autistic persons, </w:t>
      </w:r>
      <w:r w:rsidR="00755DBE" w:rsidRPr="00AC1D26">
        <w:rPr>
          <w:b/>
          <w:bCs/>
          <w:lang w:eastAsia="ko-KR"/>
        </w:rPr>
        <w:t>ethnic, Dalit, Madhesi and Muslim communities</w:t>
      </w:r>
      <w:r w:rsidRPr="00AC1D26">
        <w:rPr>
          <w:b/>
          <w:lang w:eastAsia="ko-KR"/>
        </w:rPr>
        <w:t>. The Committee also recommends that the State party establish accessible and effective mechanisms for victims of discrimination to seek redress and commensurate compensation.</w:t>
      </w:r>
    </w:p>
    <w:p w14:paraId="38FDD8BB" w14:textId="3B696ABC" w:rsidR="00F77C10" w:rsidRPr="00AC1D26" w:rsidRDefault="00ED5EB8" w:rsidP="00ED5EB8">
      <w:pPr>
        <w:pStyle w:val="H23G"/>
        <w:rPr>
          <w:lang w:eastAsia="ko-KR"/>
        </w:rPr>
      </w:pPr>
      <w:r w:rsidRPr="00AC1D26">
        <w:rPr>
          <w:lang w:eastAsia="ko-KR"/>
        </w:rPr>
        <w:tab/>
      </w:r>
      <w:r w:rsidRPr="00AC1D26">
        <w:rPr>
          <w:lang w:eastAsia="ko-KR"/>
        </w:rPr>
        <w:tab/>
      </w:r>
      <w:r w:rsidR="00F77C10" w:rsidRPr="00AC1D26">
        <w:rPr>
          <w:lang w:eastAsia="ko-KR"/>
        </w:rPr>
        <w:t>Women with disabilities (art. 6)</w:t>
      </w:r>
    </w:p>
    <w:p w14:paraId="5A03B72D" w14:textId="200E11B3" w:rsidR="00F77C10" w:rsidRPr="00AC1D26" w:rsidRDefault="00F77C10" w:rsidP="00C86824">
      <w:pPr>
        <w:pStyle w:val="SingleTxtG"/>
        <w:numPr>
          <w:ilvl w:val="0"/>
          <w:numId w:val="10"/>
        </w:numPr>
        <w:ind w:left="1134" w:firstLine="0"/>
        <w:rPr>
          <w:lang w:val="en-US" w:eastAsia="ko-KR"/>
        </w:rPr>
      </w:pPr>
      <w:r w:rsidRPr="00AC1D26">
        <w:rPr>
          <w:lang w:eastAsia="ko-KR"/>
        </w:rPr>
        <w:t xml:space="preserve">The Committee is concerned about the overall lack of information on social, economic, </w:t>
      </w:r>
      <w:r w:rsidRPr="00AC1D26">
        <w:rPr>
          <w:lang w:val="en-US" w:eastAsia="ko-KR"/>
        </w:rPr>
        <w:t xml:space="preserve">employment and other areas </w:t>
      </w:r>
      <w:r w:rsidRPr="00AC1D26">
        <w:rPr>
          <w:spacing w:val="1"/>
          <w:lang w:val="en-US" w:eastAsia="ko-KR"/>
        </w:rPr>
        <w:t>of</w:t>
      </w:r>
      <w:r w:rsidRPr="00AC1D26">
        <w:rPr>
          <w:lang w:val="en-US" w:eastAsia="ko-KR"/>
        </w:rPr>
        <w:t xml:space="preserve"> public life,</w:t>
      </w:r>
      <w:r w:rsidRPr="00AC1D26">
        <w:rPr>
          <w:lang w:eastAsia="ko-KR"/>
        </w:rPr>
        <w:t xml:space="preserve"> and political situations of women with disabilities in </w:t>
      </w:r>
      <w:r w:rsidR="00504DAA" w:rsidRPr="00AC1D26">
        <w:rPr>
          <w:lang w:eastAsia="ko-KR"/>
        </w:rPr>
        <w:t>Nepal.</w:t>
      </w:r>
      <w:r w:rsidRPr="00AC1D26">
        <w:rPr>
          <w:lang w:eastAsia="ko-KR"/>
        </w:rPr>
        <w:t xml:space="preserve"> </w:t>
      </w:r>
      <w:r w:rsidR="00504DAA" w:rsidRPr="00AC1D26">
        <w:rPr>
          <w:lang w:eastAsia="ko-KR"/>
        </w:rPr>
        <w:t xml:space="preserve">In particular, it is concerned at </w:t>
      </w:r>
      <w:r w:rsidRPr="00AC1D26">
        <w:rPr>
          <w:lang w:eastAsia="ko-KR"/>
        </w:rPr>
        <w:t xml:space="preserve">the overall exclusion </w:t>
      </w:r>
      <w:r w:rsidR="00755DBE" w:rsidRPr="00AC1D26">
        <w:rPr>
          <w:lang w:eastAsia="ko-KR"/>
        </w:rPr>
        <w:t xml:space="preserve">of </w:t>
      </w:r>
      <w:r w:rsidRPr="00AC1D26">
        <w:rPr>
          <w:lang w:eastAsia="ko-KR"/>
        </w:rPr>
        <w:t xml:space="preserve">women with disabilities </w:t>
      </w:r>
      <w:r w:rsidR="00BC3EF2" w:rsidRPr="00AC1D26">
        <w:rPr>
          <w:lang w:eastAsia="ko-KR"/>
        </w:rPr>
        <w:t xml:space="preserve">in </w:t>
      </w:r>
      <w:r w:rsidR="00755DBE" w:rsidRPr="00AC1D26">
        <w:rPr>
          <w:lang w:eastAsia="ko-KR"/>
        </w:rPr>
        <w:t>decision-</w:t>
      </w:r>
      <w:r w:rsidRPr="00AC1D26">
        <w:rPr>
          <w:lang w:eastAsia="ko-KR"/>
        </w:rPr>
        <w:t xml:space="preserve">making </w:t>
      </w:r>
      <w:r w:rsidR="00755DBE" w:rsidRPr="00AC1D26">
        <w:rPr>
          <w:lang w:eastAsia="ko-KR"/>
        </w:rPr>
        <w:t>processes</w:t>
      </w:r>
      <w:r w:rsidRPr="00AC1D26">
        <w:rPr>
          <w:lang w:eastAsia="ko-KR"/>
        </w:rPr>
        <w:t xml:space="preserve">. </w:t>
      </w:r>
      <w:r w:rsidR="00504DAA" w:rsidRPr="00AC1D26">
        <w:rPr>
          <w:lang w:eastAsia="ko-KR"/>
        </w:rPr>
        <w:t>The Committee is also concerned at the reportedly high incidence of sexual violence and abuse of women and girls, including cases of gang rape of women and girls with disabilities</w:t>
      </w:r>
      <w:r w:rsidR="00082504" w:rsidRPr="00AC1D26">
        <w:rPr>
          <w:lang w:eastAsia="ko-KR"/>
        </w:rPr>
        <w:t xml:space="preserve"> and that some cases remain unreported</w:t>
      </w:r>
      <w:r w:rsidR="00504DAA" w:rsidRPr="00AC1D26">
        <w:rPr>
          <w:lang w:eastAsia="ko-KR"/>
        </w:rPr>
        <w:t>.</w:t>
      </w:r>
    </w:p>
    <w:p w14:paraId="5B973235" w14:textId="129DCE62" w:rsidR="00F77C10" w:rsidRPr="00AC1D26" w:rsidRDefault="00F77C10" w:rsidP="00C86824">
      <w:pPr>
        <w:pStyle w:val="SingleTxtG"/>
        <w:numPr>
          <w:ilvl w:val="0"/>
          <w:numId w:val="10"/>
        </w:numPr>
        <w:ind w:left="1134" w:firstLine="0"/>
        <w:rPr>
          <w:lang w:eastAsia="ko-KR"/>
        </w:rPr>
      </w:pPr>
      <w:r w:rsidRPr="00AC1D26">
        <w:rPr>
          <w:b/>
          <w:lang w:eastAsia="ko-KR"/>
        </w:rPr>
        <w:t xml:space="preserve">The Committee urges the State party to undertake consultations </w:t>
      </w:r>
      <w:r w:rsidR="00A72BF1" w:rsidRPr="00AC1D26">
        <w:rPr>
          <w:b/>
          <w:lang w:eastAsia="ko-KR"/>
        </w:rPr>
        <w:t xml:space="preserve">with organisations </w:t>
      </w:r>
      <w:proofErr w:type="gramStart"/>
      <w:r w:rsidR="00A72BF1" w:rsidRPr="00AC1D26">
        <w:rPr>
          <w:b/>
          <w:lang w:eastAsia="ko-KR"/>
        </w:rPr>
        <w:t xml:space="preserve">representing </w:t>
      </w:r>
      <w:r w:rsidRPr="00AC1D26">
        <w:rPr>
          <w:b/>
          <w:lang w:eastAsia="ko-KR"/>
        </w:rPr>
        <w:t xml:space="preserve"> women</w:t>
      </w:r>
      <w:proofErr w:type="gramEnd"/>
      <w:r w:rsidRPr="00AC1D26">
        <w:rPr>
          <w:b/>
          <w:lang w:eastAsia="ko-KR"/>
        </w:rPr>
        <w:t xml:space="preserve"> and girls with disabilities with a view to using these as a basis for </w:t>
      </w:r>
      <w:r w:rsidR="008B44C6" w:rsidRPr="00AC1D26">
        <w:rPr>
          <w:b/>
          <w:lang w:eastAsia="ko-KR"/>
        </w:rPr>
        <w:t xml:space="preserve">ensuring their participation in political and public life and </w:t>
      </w:r>
      <w:r w:rsidR="0069146B">
        <w:rPr>
          <w:b/>
          <w:lang w:eastAsia="ko-KR"/>
        </w:rPr>
        <w:t xml:space="preserve">in </w:t>
      </w:r>
      <w:r w:rsidRPr="00AC1D26">
        <w:rPr>
          <w:b/>
          <w:lang w:eastAsia="ko-KR"/>
        </w:rPr>
        <w:t>implementing law reform and policy changes,</w:t>
      </w:r>
      <w:r w:rsidR="0069146B">
        <w:rPr>
          <w:b/>
          <w:lang w:eastAsia="ko-KR"/>
        </w:rPr>
        <w:t xml:space="preserve"> -</w:t>
      </w:r>
      <w:r w:rsidRPr="00AC1D26">
        <w:rPr>
          <w:b/>
          <w:lang w:eastAsia="ko-KR"/>
        </w:rPr>
        <w:t xml:space="preserve"> with particular attention to their family lives, education, health services, employment</w:t>
      </w:r>
      <w:r w:rsidR="004D158A">
        <w:rPr>
          <w:b/>
          <w:lang w:eastAsia="ko-KR"/>
        </w:rPr>
        <w:t xml:space="preserve">. The Committee recommends that the State party </w:t>
      </w:r>
      <w:r w:rsidRPr="00AC1D26">
        <w:rPr>
          <w:b/>
          <w:lang w:eastAsia="ko-KR"/>
        </w:rPr>
        <w:t>combat discriminat</w:t>
      </w:r>
      <w:r w:rsidR="00755DBE" w:rsidRPr="00AC1D26">
        <w:rPr>
          <w:b/>
          <w:lang w:eastAsia="ko-KR"/>
        </w:rPr>
        <w:t>ory</w:t>
      </w:r>
      <w:r w:rsidRPr="00AC1D26">
        <w:rPr>
          <w:b/>
          <w:lang w:eastAsia="ko-KR"/>
        </w:rPr>
        <w:t xml:space="preserve"> practices as stipulated under the</w:t>
      </w:r>
      <w:r w:rsidRPr="00AC1D26">
        <w:rPr>
          <w:b/>
        </w:rPr>
        <w:t xml:space="preserve"> Three Year Interim Plan (TYIP) (2010–2013) </w:t>
      </w:r>
      <w:r w:rsidRPr="00AC1D26">
        <w:rPr>
          <w:b/>
          <w:lang w:eastAsia="ko-KR"/>
        </w:rPr>
        <w:t xml:space="preserve">that </w:t>
      </w:r>
      <w:r w:rsidRPr="00AC1D26">
        <w:rPr>
          <w:b/>
        </w:rPr>
        <w:t>lays emphasis on: policy, legal and institutional reform to eliminate all forms of discrimina</w:t>
      </w:r>
      <w:r w:rsidRPr="00AC1D26">
        <w:rPr>
          <w:b/>
          <w:lang w:eastAsia="ko-KR"/>
        </w:rPr>
        <w:t>tion affecting women</w:t>
      </w:r>
      <w:r w:rsidR="00755DBE" w:rsidRPr="00AC1D26">
        <w:rPr>
          <w:b/>
          <w:lang w:eastAsia="ko-KR"/>
        </w:rPr>
        <w:t xml:space="preserve"> and girls</w:t>
      </w:r>
      <w:r w:rsidRPr="00AC1D26">
        <w:rPr>
          <w:lang w:eastAsia="ko-KR"/>
        </w:rPr>
        <w:t xml:space="preserve">. </w:t>
      </w:r>
      <w:r w:rsidR="00504DAA" w:rsidRPr="00AC1D26">
        <w:rPr>
          <w:b/>
          <w:bCs/>
          <w:lang w:eastAsia="ko-KR"/>
        </w:rPr>
        <w:t>The Committee recommends that the State party strengthen and implement legislation and provide for accessible monitoring and reporting mechanisms to detect, prevent and combat all forms of</w:t>
      </w:r>
      <w:r w:rsidR="00CD1BB1" w:rsidRPr="00AC1D26">
        <w:rPr>
          <w:b/>
          <w:bCs/>
          <w:lang w:eastAsia="ko-KR"/>
        </w:rPr>
        <w:t xml:space="preserve"> </w:t>
      </w:r>
      <w:r w:rsidR="00504DAA" w:rsidRPr="00AC1D26">
        <w:rPr>
          <w:b/>
          <w:bCs/>
          <w:lang w:eastAsia="ko-KR"/>
        </w:rPr>
        <w:t>violence, including</w:t>
      </w:r>
      <w:r w:rsidR="00CD1BB1" w:rsidRPr="00AC1D26">
        <w:rPr>
          <w:b/>
          <w:bCs/>
          <w:lang w:eastAsia="ko-KR"/>
        </w:rPr>
        <w:t xml:space="preserve"> sexual </w:t>
      </w:r>
      <w:r w:rsidR="00504DAA" w:rsidRPr="00AC1D26">
        <w:rPr>
          <w:b/>
          <w:bCs/>
          <w:lang w:eastAsia="ko-KR"/>
        </w:rPr>
        <w:t xml:space="preserve">violence, against </w:t>
      </w:r>
      <w:r w:rsidR="00D714C2" w:rsidRPr="00AC1D26">
        <w:rPr>
          <w:b/>
          <w:bCs/>
          <w:lang w:eastAsia="ko-KR"/>
        </w:rPr>
        <w:t xml:space="preserve">women and girls </w:t>
      </w:r>
      <w:r w:rsidR="00CD1BB1" w:rsidRPr="00AC1D26">
        <w:rPr>
          <w:b/>
          <w:bCs/>
          <w:lang w:eastAsia="ko-KR"/>
        </w:rPr>
        <w:t xml:space="preserve">with </w:t>
      </w:r>
      <w:r w:rsidR="008B44C6" w:rsidRPr="00AC1D26">
        <w:rPr>
          <w:b/>
          <w:bCs/>
          <w:lang w:eastAsia="ko-KR"/>
        </w:rPr>
        <w:t>disabilities.</w:t>
      </w:r>
    </w:p>
    <w:p w14:paraId="526DF491" w14:textId="096C1A8D" w:rsidR="00F77C10" w:rsidRPr="00AC1D26" w:rsidRDefault="00ED5EB8" w:rsidP="00ED5EB8">
      <w:pPr>
        <w:pStyle w:val="H23G"/>
        <w:rPr>
          <w:lang w:eastAsia="ko-KR"/>
        </w:rPr>
      </w:pPr>
      <w:r w:rsidRPr="00AC1D26">
        <w:rPr>
          <w:lang w:eastAsia="ko-KR"/>
        </w:rPr>
        <w:tab/>
      </w:r>
      <w:r w:rsidRPr="00AC1D26">
        <w:rPr>
          <w:lang w:eastAsia="ko-KR"/>
        </w:rPr>
        <w:tab/>
      </w:r>
      <w:r w:rsidR="00F77C10" w:rsidRPr="00AC1D26">
        <w:rPr>
          <w:lang w:eastAsia="ko-KR"/>
        </w:rPr>
        <w:t>Children with disabilities (art. 7)</w:t>
      </w:r>
    </w:p>
    <w:p w14:paraId="5F4C4C4B" w14:textId="562D1AD9" w:rsidR="00F77C10" w:rsidRPr="00AC1D26" w:rsidRDefault="00F77C10" w:rsidP="00C86824">
      <w:pPr>
        <w:pStyle w:val="SingleTxtG"/>
        <w:numPr>
          <w:ilvl w:val="0"/>
          <w:numId w:val="10"/>
        </w:numPr>
        <w:ind w:left="1134" w:firstLine="0"/>
        <w:rPr>
          <w:lang w:eastAsia="ko-KR"/>
        </w:rPr>
      </w:pPr>
      <w:r w:rsidRPr="00AC1D26">
        <w:rPr>
          <w:lang w:eastAsia="ko-KR"/>
        </w:rPr>
        <w:t>The Committee is concerned about the absence of clear linkages between intended policies and actual implementation of policies such as t</w:t>
      </w:r>
      <w:r w:rsidRPr="00AC1D26">
        <w:t>he Ten-Year Children’s National Action Plan</w:t>
      </w:r>
      <w:r w:rsidRPr="00AC1D26">
        <w:rPr>
          <w:lang w:eastAsia="ko-KR"/>
        </w:rPr>
        <w:t xml:space="preserve"> or t</w:t>
      </w:r>
      <w:r w:rsidRPr="00AC1D26">
        <w:t>he Thirteenth Plan (2013–2016)</w:t>
      </w:r>
      <w:r w:rsidR="00755DBE" w:rsidRPr="00AC1D26">
        <w:t xml:space="preserve"> aimed at protecting </w:t>
      </w:r>
      <w:r w:rsidRPr="00AC1D26">
        <w:t>children</w:t>
      </w:r>
      <w:r w:rsidRPr="00AC1D26">
        <w:rPr>
          <w:lang w:eastAsia="ko-KR"/>
        </w:rPr>
        <w:t xml:space="preserve">. More </w:t>
      </w:r>
      <w:r w:rsidR="008F4D2A" w:rsidRPr="00AC1D26">
        <w:rPr>
          <w:lang w:eastAsia="ko-KR"/>
        </w:rPr>
        <w:t>s</w:t>
      </w:r>
      <w:r w:rsidRPr="00AC1D26">
        <w:rPr>
          <w:lang w:eastAsia="ko-KR"/>
        </w:rPr>
        <w:t xml:space="preserve">pecifically, the Committee </w:t>
      </w:r>
      <w:r w:rsidR="008F4D2A" w:rsidRPr="00AC1D26">
        <w:rPr>
          <w:lang w:eastAsia="ko-KR"/>
        </w:rPr>
        <w:t xml:space="preserve">is </w:t>
      </w:r>
      <w:r w:rsidRPr="00AC1D26">
        <w:rPr>
          <w:lang w:eastAsia="ko-KR"/>
        </w:rPr>
        <w:t xml:space="preserve">concerned about the absence </w:t>
      </w:r>
      <w:r w:rsidR="00D714C2" w:rsidRPr="00AC1D26">
        <w:rPr>
          <w:lang w:eastAsia="ko-KR"/>
        </w:rPr>
        <w:t xml:space="preserve">of </w:t>
      </w:r>
      <w:r w:rsidRPr="00AC1D26">
        <w:rPr>
          <w:lang w:eastAsia="ko-KR"/>
        </w:rPr>
        <w:t xml:space="preserve">specific measures for </w:t>
      </w:r>
      <w:r w:rsidR="00A72BF1" w:rsidRPr="00AC1D26">
        <w:rPr>
          <w:lang w:eastAsia="ko-KR"/>
        </w:rPr>
        <w:t>support</w:t>
      </w:r>
      <w:r w:rsidR="006777BF">
        <w:rPr>
          <w:lang w:eastAsia="ko-KR"/>
        </w:rPr>
        <w:t>ing</w:t>
      </w:r>
      <w:r w:rsidR="00A72BF1" w:rsidRPr="00AC1D26">
        <w:rPr>
          <w:lang w:eastAsia="ko-KR"/>
        </w:rPr>
        <w:t xml:space="preserve"> </w:t>
      </w:r>
      <w:r w:rsidRPr="00AC1D26">
        <w:rPr>
          <w:lang w:eastAsia="ko-KR"/>
        </w:rPr>
        <w:t>children with disabilities and their families</w:t>
      </w:r>
      <w:r w:rsidR="00755DBE" w:rsidRPr="00AC1D26">
        <w:rPr>
          <w:lang w:eastAsia="ko-KR"/>
        </w:rPr>
        <w:t>,</w:t>
      </w:r>
      <w:r w:rsidRPr="00AC1D26">
        <w:rPr>
          <w:lang w:eastAsia="ko-KR"/>
        </w:rPr>
        <w:t xml:space="preserve"> and also about the inadequacy of </w:t>
      </w:r>
      <w:r w:rsidR="005503D2" w:rsidRPr="00AC1D26">
        <w:rPr>
          <w:lang w:eastAsia="ko-KR"/>
        </w:rPr>
        <w:t xml:space="preserve">inclusive </w:t>
      </w:r>
      <w:r w:rsidRPr="00AC1D26">
        <w:rPr>
          <w:lang w:eastAsia="ko-KR"/>
        </w:rPr>
        <w:t>education for children, particularly</w:t>
      </w:r>
      <w:r w:rsidR="00BA235F" w:rsidRPr="00AC1D26">
        <w:rPr>
          <w:lang w:eastAsia="ko-KR"/>
        </w:rPr>
        <w:t xml:space="preserve"> </w:t>
      </w:r>
      <w:r w:rsidR="00233EB5" w:rsidRPr="00AC1D26">
        <w:rPr>
          <w:lang w:eastAsia="ko-KR"/>
        </w:rPr>
        <w:t xml:space="preserve">those from </w:t>
      </w:r>
      <w:r w:rsidRPr="00AC1D26">
        <w:rPr>
          <w:lang w:eastAsia="ko-KR"/>
        </w:rPr>
        <w:t>rural areas</w:t>
      </w:r>
      <w:r w:rsidR="00233EB5" w:rsidRPr="00AC1D26">
        <w:rPr>
          <w:lang w:eastAsia="ko-KR"/>
        </w:rPr>
        <w:t>,</w:t>
      </w:r>
      <w:r w:rsidRPr="00AC1D26">
        <w:rPr>
          <w:lang w:eastAsia="ko-KR"/>
        </w:rPr>
        <w:t xml:space="preserve"> </w:t>
      </w:r>
      <w:r w:rsidR="005503D2" w:rsidRPr="00AC1D26">
        <w:rPr>
          <w:lang w:eastAsia="ko-KR"/>
        </w:rPr>
        <w:t>m</w:t>
      </w:r>
      <w:r w:rsidRPr="00AC1D26">
        <w:rPr>
          <w:lang w:eastAsia="ko-KR"/>
        </w:rPr>
        <w:t>arginalized ethnic minorit</w:t>
      </w:r>
      <w:r w:rsidR="00233EB5" w:rsidRPr="00AC1D26">
        <w:rPr>
          <w:lang w:eastAsia="ko-KR"/>
        </w:rPr>
        <w:t>y</w:t>
      </w:r>
      <w:r w:rsidR="005503D2" w:rsidRPr="00AC1D26">
        <w:rPr>
          <w:lang w:eastAsia="ko-KR"/>
        </w:rPr>
        <w:t xml:space="preserve"> and indigenous </w:t>
      </w:r>
      <w:r w:rsidR="00233EB5" w:rsidRPr="00AC1D26">
        <w:rPr>
          <w:lang w:eastAsia="ko-KR"/>
        </w:rPr>
        <w:t>communities</w:t>
      </w:r>
      <w:r w:rsidRPr="00AC1D26">
        <w:rPr>
          <w:lang w:eastAsia="ko-KR"/>
        </w:rPr>
        <w:t>.</w:t>
      </w:r>
      <w:r w:rsidR="00717DA1" w:rsidRPr="00AC1D26">
        <w:rPr>
          <w:lang w:eastAsia="ko-KR"/>
        </w:rPr>
        <w:t xml:space="preserve"> The Committee is also concerned at reports of abandonment of children with disabilities who as a result are exposed to exploitation and abuse.</w:t>
      </w:r>
    </w:p>
    <w:p w14:paraId="0D17CF7D" w14:textId="1B6BD1B9" w:rsidR="00F77C10" w:rsidRPr="00AC1D26" w:rsidRDefault="00F77C10" w:rsidP="00C86824">
      <w:pPr>
        <w:pStyle w:val="SingleTxtG"/>
        <w:numPr>
          <w:ilvl w:val="0"/>
          <w:numId w:val="10"/>
        </w:numPr>
        <w:ind w:left="1134" w:firstLine="0"/>
        <w:rPr>
          <w:b/>
          <w:lang w:eastAsia="ko-KR"/>
        </w:rPr>
      </w:pPr>
      <w:r w:rsidRPr="00AC1D26">
        <w:rPr>
          <w:b/>
        </w:rPr>
        <w:t>The Committee recommends that the State party take steps, which should include consultations with representative</w:t>
      </w:r>
      <w:r w:rsidRPr="00AC1D26">
        <w:rPr>
          <w:b/>
          <w:lang w:eastAsia="ko-KR"/>
        </w:rPr>
        <w:t xml:space="preserve"> organization</w:t>
      </w:r>
      <w:r w:rsidR="00D714C2" w:rsidRPr="00AC1D26">
        <w:rPr>
          <w:b/>
          <w:lang w:eastAsia="ko-KR"/>
        </w:rPr>
        <w:t>s</w:t>
      </w:r>
      <w:r w:rsidRPr="00AC1D26">
        <w:rPr>
          <w:b/>
          <w:lang w:eastAsia="ko-KR"/>
        </w:rPr>
        <w:t xml:space="preserve"> of persons with disabilities and relevant ethnic minorities</w:t>
      </w:r>
      <w:r w:rsidRPr="00AC1D26">
        <w:rPr>
          <w:b/>
        </w:rPr>
        <w:t xml:space="preserve"> </w:t>
      </w:r>
      <w:r w:rsidR="00717DA1" w:rsidRPr="00AC1D26">
        <w:rPr>
          <w:b/>
        </w:rPr>
        <w:t xml:space="preserve">and indigenous groups </w:t>
      </w:r>
      <w:r w:rsidRPr="00AC1D26">
        <w:rPr>
          <w:b/>
        </w:rPr>
        <w:t xml:space="preserve">to </w:t>
      </w:r>
      <w:r w:rsidRPr="00AC1D26">
        <w:rPr>
          <w:b/>
          <w:lang w:eastAsia="ko-KR"/>
        </w:rPr>
        <w:t>ensure overall improvement in increasing enrolment of children with disabilities for primary school education, implement</w:t>
      </w:r>
      <w:r w:rsidR="00717DA1" w:rsidRPr="00AC1D26">
        <w:rPr>
          <w:b/>
          <w:lang w:eastAsia="ko-KR"/>
        </w:rPr>
        <w:t>ing</w:t>
      </w:r>
      <w:r w:rsidRPr="00AC1D26">
        <w:rPr>
          <w:b/>
          <w:lang w:eastAsia="ko-KR"/>
        </w:rPr>
        <w:t xml:space="preserve"> inclusive early childhood education, opportunities for vocational training for youth with disabilities, and undertake measures for the </w:t>
      </w:r>
      <w:r w:rsidRPr="00AC1D26">
        <w:rPr>
          <w:b/>
        </w:rPr>
        <w:t>prevention of violence, abuse</w:t>
      </w:r>
      <w:r w:rsidRPr="00AC1D26">
        <w:rPr>
          <w:b/>
          <w:lang w:eastAsia="ko-KR"/>
        </w:rPr>
        <w:t>, exploitation</w:t>
      </w:r>
      <w:r w:rsidRPr="00AC1D26">
        <w:rPr>
          <w:b/>
        </w:rPr>
        <w:t xml:space="preserve"> and abandonment of children with disabilities. In doing so, the State party should pay particular attention to</w:t>
      </w:r>
      <w:r w:rsidR="00755DBE" w:rsidRPr="00AC1D26">
        <w:rPr>
          <w:b/>
        </w:rPr>
        <w:t>wards</w:t>
      </w:r>
      <w:r w:rsidRPr="00AC1D26">
        <w:rPr>
          <w:b/>
        </w:rPr>
        <w:t xml:space="preserve"> </w:t>
      </w:r>
      <w:r w:rsidR="00755DBE" w:rsidRPr="00AC1D26">
        <w:rPr>
          <w:b/>
          <w:lang w:eastAsia="ko-KR"/>
        </w:rPr>
        <w:t>marginalized</w:t>
      </w:r>
      <w:r w:rsidR="00755DBE" w:rsidRPr="00AC1D26">
        <w:rPr>
          <w:b/>
        </w:rPr>
        <w:t xml:space="preserve"> </w:t>
      </w:r>
      <w:r w:rsidR="00755DBE" w:rsidRPr="00AC1D26">
        <w:rPr>
          <w:b/>
          <w:lang w:eastAsia="ko-KR"/>
        </w:rPr>
        <w:t>groups</w:t>
      </w:r>
      <w:r w:rsidR="00755DBE" w:rsidRPr="00AC1D26">
        <w:rPr>
          <w:b/>
        </w:rPr>
        <w:t xml:space="preserve"> of </w:t>
      </w:r>
      <w:r w:rsidRPr="00AC1D26">
        <w:rPr>
          <w:b/>
        </w:rPr>
        <w:t xml:space="preserve">children with disabilities </w:t>
      </w:r>
      <w:r w:rsidR="00755DBE" w:rsidRPr="00AC1D26">
        <w:rPr>
          <w:b/>
        </w:rPr>
        <w:t>in</w:t>
      </w:r>
      <w:r w:rsidRPr="00AC1D26">
        <w:rPr>
          <w:b/>
        </w:rPr>
        <w:t xml:space="preserve"> rural </w:t>
      </w:r>
      <w:r w:rsidR="00EB6FF7" w:rsidRPr="00AC1D26">
        <w:rPr>
          <w:b/>
        </w:rPr>
        <w:t xml:space="preserve">and mountainous </w:t>
      </w:r>
      <w:r w:rsidRPr="00AC1D26">
        <w:rPr>
          <w:b/>
        </w:rPr>
        <w:t>areas</w:t>
      </w:r>
      <w:r w:rsidR="00A72BF1" w:rsidRPr="00AC1D26">
        <w:rPr>
          <w:b/>
        </w:rPr>
        <w:t xml:space="preserve">, in particular children with intellectual </w:t>
      </w:r>
      <w:r w:rsidR="004953E8" w:rsidRPr="00AC1D26">
        <w:rPr>
          <w:b/>
        </w:rPr>
        <w:t xml:space="preserve">and/or psychosocial </w:t>
      </w:r>
      <w:r w:rsidR="00A72BF1" w:rsidRPr="00AC1D26">
        <w:rPr>
          <w:b/>
        </w:rPr>
        <w:t xml:space="preserve">disabilities and those from </w:t>
      </w:r>
      <w:r w:rsidR="00D714C2" w:rsidRPr="00AC1D26">
        <w:rPr>
          <w:b/>
        </w:rPr>
        <w:t>indigenous groups</w:t>
      </w:r>
      <w:r w:rsidRPr="00AC1D26">
        <w:rPr>
          <w:b/>
          <w:lang w:eastAsia="ko-KR"/>
        </w:rPr>
        <w:t>.</w:t>
      </w:r>
    </w:p>
    <w:p w14:paraId="657F93A6" w14:textId="2D433F0F" w:rsidR="00F77C10" w:rsidRPr="00AC1D26" w:rsidRDefault="00ED5EB8" w:rsidP="00ED5EB8">
      <w:pPr>
        <w:pStyle w:val="H23G"/>
        <w:rPr>
          <w:lang w:eastAsia="ko-KR"/>
        </w:rPr>
      </w:pPr>
      <w:r w:rsidRPr="00AC1D26">
        <w:rPr>
          <w:lang w:eastAsia="ko-KR"/>
        </w:rPr>
        <w:tab/>
      </w:r>
      <w:r w:rsidRPr="00AC1D26">
        <w:rPr>
          <w:lang w:eastAsia="ko-KR"/>
        </w:rPr>
        <w:tab/>
      </w:r>
      <w:r w:rsidR="00F77C10" w:rsidRPr="00AC1D26">
        <w:rPr>
          <w:lang w:eastAsia="ko-KR"/>
        </w:rPr>
        <w:t>Awareness-raising (art. 8)</w:t>
      </w:r>
    </w:p>
    <w:p w14:paraId="6A502BB5" w14:textId="5C08D470" w:rsidR="00F77C10" w:rsidRPr="00AC1D26" w:rsidRDefault="00F77C10" w:rsidP="00C86824">
      <w:pPr>
        <w:pStyle w:val="SingleTxtG"/>
        <w:numPr>
          <w:ilvl w:val="0"/>
          <w:numId w:val="10"/>
        </w:numPr>
        <w:ind w:left="1134" w:firstLine="0"/>
        <w:rPr>
          <w:lang w:eastAsia="ko-KR"/>
        </w:rPr>
      </w:pPr>
      <w:r w:rsidRPr="00AC1D26">
        <w:rPr>
          <w:lang w:eastAsia="ko-KR"/>
        </w:rPr>
        <w:t xml:space="preserve">The Committee is concerned </w:t>
      </w:r>
      <w:r w:rsidR="00C70D83" w:rsidRPr="00AC1D26">
        <w:rPr>
          <w:lang w:eastAsia="ko-KR"/>
        </w:rPr>
        <w:t xml:space="preserve">at </w:t>
      </w:r>
      <w:r w:rsidRPr="00AC1D26">
        <w:rPr>
          <w:lang w:eastAsia="ko-KR"/>
        </w:rPr>
        <w:t xml:space="preserve">negative attitudes as manifested in everyday language and </w:t>
      </w:r>
      <w:r w:rsidR="00C70D83" w:rsidRPr="00AC1D26">
        <w:rPr>
          <w:lang w:eastAsia="ko-KR"/>
        </w:rPr>
        <w:t xml:space="preserve">the </w:t>
      </w:r>
      <w:r w:rsidR="00755DBE" w:rsidRPr="00AC1D26">
        <w:rPr>
          <w:lang w:eastAsia="ko-KR"/>
        </w:rPr>
        <w:t xml:space="preserve">lack of awareness regarding the </w:t>
      </w:r>
      <w:r w:rsidR="00A72BF1" w:rsidRPr="00AC1D26">
        <w:rPr>
          <w:lang w:eastAsia="ko-KR"/>
        </w:rPr>
        <w:t>rights of</w:t>
      </w:r>
      <w:r w:rsidRPr="00AC1D26">
        <w:rPr>
          <w:lang w:eastAsia="ko-KR"/>
        </w:rPr>
        <w:t xml:space="preserve"> </w:t>
      </w:r>
      <w:r w:rsidR="00EB6FF7" w:rsidRPr="00AC1D26">
        <w:rPr>
          <w:lang w:eastAsia="ko-KR"/>
        </w:rPr>
        <w:t xml:space="preserve">persons with disabilities, particularly </w:t>
      </w:r>
      <w:r w:rsidRPr="00AC1D26">
        <w:t>women</w:t>
      </w:r>
      <w:r w:rsidR="00755DBE" w:rsidRPr="00AC1D26">
        <w:t xml:space="preserve"> and girls</w:t>
      </w:r>
      <w:r w:rsidRPr="00AC1D26">
        <w:t xml:space="preserve"> with intellectual</w:t>
      </w:r>
      <w:r w:rsidRPr="00AC1D26">
        <w:rPr>
          <w:lang w:eastAsia="ko-KR"/>
        </w:rPr>
        <w:t xml:space="preserve"> </w:t>
      </w:r>
      <w:r w:rsidR="00A72BF1" w:rsidRPr="00AC1D26">
        <w:rPr>
          <w:lang w:eastAsia="ko-KR"/>
        </w:rPr>
        <w:t>and/</w:t>
      </w:r>
      <w:r w:rsidRPr="00AC1D26">
        <w:rPr>
          <w:lang w:eastAsia="ko-KR"/>
        </w:rPr>
        <w:t>or</w:t>
      </w:r>
      <w:r w:rsidRPr="00AC1D26">
        <w:t xml:space="preserve"> psychosocial disabilities from ethnic, Dalit, Madhesi and Muslim communities</w:t>
      </w:r>
      <w:r w:rsidRPr="00AC1D26">
        <w:rPr>
          <w:lang w:eastAsia="ko-KR"/>
        </w:rPr>
        <w:t xml:space="preserve">. The Committee also notes that awareness-raising </w:t>
      </w:r>
      <w:r w:rsidR="00D714C2" w:rsidRPr="00AC1D26">
        <w:rPr>
          <w:lang w:eastAsia="ko-KR"/>
        </w:rPr>
        <w:t xml:space="preserve">measures </w:t>
      </w:r>
      <w:r w:rsidRPr="00AC1D26">
        <w:rPr>
          <w:lang w:eastAsia="ko-KR"/>
        </w:rPr>
        <w:t>are inadequate to the extent that even persons with disabilities and their families, let alone public and relevant professionals in general, are not exposed to the issues concerning the right</w:t>
      </w:r>
      <w:r w:rsidR="003157C6" w:rsidRPr="00AC1D26">
        <w:rPr>
          <w:lang w:eastAsia="ko-KR"/>
        </w:rPr>
        <w:t>s of persons with disabilities.</w:t>
      </w:r>
    </w:p>
    <w:p w14:paraId="20A9A7E1" w14:textId="586C1D87" w:rsidR="00F77C10" w:rsidRPr="00AC1D26" w:rsidRDefault="008C02E6" w:rsidP="00C86824">
      <w:pPr>
        <w:pStyle w:val="SingleTxtG"/>
        <w:numPr>
          <w:ilvl w:val="0"/>
          <w:numId w:val="10"/>
        </w:numPr>
        <w:ind w:left="1134" w:firstLine="0"/>
        <w:rPr>
          <w:b/>
          <w:lang w:eastAsia="ko-KR"/>
        </w:rPr>
      </w:pPr>
      <w:r w:rsidRPr="00AC1D26">
        <w:rPr>
          <w:b/>
          <w:bCs/>
          <w:lang w:eastAsia="ko-KR"/>
        </w:rPr>
        <w:t xml:space="preserve">The Committee recommends that the State party, in collaboration with </w:t>
      </w:r>
      <w:r w:rsidR="004A63C9" w:rsidRPr="00AC1D26">
        <w:rPr>
          <w:b/>
          <w:bCs/>
          <w:lang w:eastAsia="ko-KR"/>
        </w:rPr>
        <w:t xml:space="preserve">representative </w:t>
      </w:r>
      <w:r w:rsidRPr="00AC1D26">
        <w:rPr>
          <w:b/>
          <w:bCs/>
          <w:lang w:eastAsia="ko-KR"/>
        </w:rPr>
        <w:t xml:space="preserve">organizations of persons with disabilities, develop and implement public awareness-raising and education programmes on the rights </w:t>
      </w:r>
      <w:r w:rsidR="00A72BF1" w:rsidRPr="00AC1D26">
        <w:rPr>
          <w:b/>
          <w:bCs/>
          <w:lang w:eastAsia="ko-KR"/>
        </w:rPr>
        <w:t xml:space="preserve">as well as the situation </w:t>
      </w:r>
      <w:r w:rsidRPr="00AC1D26">
        <w:rPr>
          <w:b/>
          <w:bCs/>
          <w:lang w:eastAsia="ko-KR"/>
        </w:rPr>
        <w:t xml:space="preserve">of persons with disabilities, including through sensitization of the media, public officials, judges and lawyers, the police, social workers and the general public, in order to </w:t>
      </w:r>
      <w:r w:rsidR="00F77C10" w:rsidRPr="00AC1D26">
        <w:rPr>
          <w:b/>
          <w:lang w:eastAsia="ko-KR"/>
        </w:rPr>
        <w:t>foster a positive image of persons with disabilities as autonomous holders of human rights. In doing so, the State party should ensure that such awareness-raising recognizes the cross-cutting nature of the Convention, particularly with regards to articles 2, 3, 5, 12, 13, 15, 16 and 21</w:t>
      </w:r>
      <w:r w:rsidR="00755DBE" w:rsidRPr="00AC1D26">
        <w:rPr>
          <w:b/>
          <w:lang w:eastAsia="ko-KR"/>
        </w:rPr>
        <w:t xml:space="preserve"> </w:t>
      </w:r>
      <w:r w:rsidR="00F77C10" w:rsidRPr="00AC1D26">
        <w:rPr>
          <w:b/>
          <w:lang w:eastAsia="ko-KR"/>
        </w:rPr>
        <w:t xml:space="preserve">and adopt </w:t>
      </w:r>
      <w:r w:rsidR="00755DBE" w:rsidRPr="00AC1D26">
        <w:rPr>
          <w:b/>
          <w:lang w:eastAsia="ko-KR"/>
        </w:rPr>
        <w:t>a</w:t>
      </w:r>
      <w:r w:rsidR="00F77C10" w:rsidRPr="00AC1D26">
        <w:rPr>
          <w:b/>
          <w:lang w:eastAsia="ko-KR"/>
        </w:rPr>
        <w:t xml:space="preserve"> human rights model of disability as a key strategy to strengthen positive public awareness </w:t>
      </w:r>
      <w:r w:rsidR="00755DBE" w:rsidRPr="00AC1D26">
        <w:rPr>
          <w:b/>
          <w:lang w:eastAsia="ko-KR"/>
        </w:rPr>
        <w:t xml:space="preserve">regarding </w:t>
      </w:r>
      <w:r w:rsidR="00F77C10" w:rsidRPr="00AC1D26">
        <w:rPr>
          <w:b/>
          <w:lang w:eastAsia="ko-KR"/>
        </w:rPr>
        <w:t>the diversity of disabilities.</w:t>
      </w:r>
    </w:p>
    <w:p w14:paraId="279A3683" w14:textId="15A04CE0" w:rsidR="00F77C10" w:rsidRPr="00AC1D26" w:rsidRDefault="00ED5EB8" w:rsidP="00ED5EB8">
      <w:pPr>
        <w:pStyle w:val="H23G"/>
        <w:rPr>
          <w:lang w:eastAsia="ko-KR"/>
        </w:rPr>
      </w:pPr>
      <w:r w:rsidRPr="00AC1D26">
        <w:rPr>
          <w:lang w:eastAsia="ko-KR"/>
        </w:rPr>
        <w:tab/>
      </w:r>
      <w:r w:rsidRPr="00AC1D26">
        <w:rPr>
          <w:lang w:eastAsia="ko-KR"/>
        </w:rPr>
        <w:tab/>
      </w:r>
      <w:r w:rsidR="00F77C10" w:rsidRPr="00AC1D26">
        <w:rPr>
          <w:lang w:eastAsia="ko-KR"/>
        </w:rPr>
        <w:t>Accessibility (art. 9)</w:t>
      </w:r>
    </w:p>
    <w:p w14:paraId="6229F5E9" w14:textId="59CAB1C4" w:rsidR="00F77C10" w:rsidRPr="00AC1D26" w:rsidRDefault="00F77C10" w:rsidP="00C86824">
      <w:pPr>
        <w:pStyle w:val="SingleTxtG"/>
        <w:numPr>
          <w:ilvl w:val="0"/>
          <w:numId w:val="10"/>
        </w:numPr>
        <w:ind w:left="1134" w:firstLine="0"/>
        <w:rPr>
          <w:lang w:eastAsia="ko-KR"/>
        </w:rPr>
      </w:pPr>
      <w:r w:rsidRPr="00AC1D26">
        <w:rPr>
          <w:lang w:eastAsia="ko-KR"/>
        </w:rPr>
        <w:t xml:space="preserve">The Committee is concerned that the State party’s measures on accessibility </w:t>
      </w:r>
      <w:r w:rsidR="00F44201" w:rsidRPr="00AC1D26">
        <w:rPr>
          <w:lang w:eastAsia="ko-KR"/>
        </w:rPr>
        <w:t>are</w:t>
      </w:r>
      <w:r w:rsidRPr="00AC1D26">
        <w:rPr>
          <w:lang w:eastAsia="ko-KR"/>
        </w:rPr>
        <w:t xml:space="preserve"> limited, as </w:t>
      </w:r>
      <w:r w:rsidR="00AA347B" w:rsidRPr="00AC1D26">
        <w:rPr>
          <w:lang w:eastAsia="ko-KR"/>
        </w:rPr>
        <w:t xml:space="preserve">noted in </w:t>
      </w:r>
      <w:r w:rsidRPr="00AC1D26">
        <w:rPr>
          <w:lang w:eastAsia="ko-KR"/>
        </w:rPr>
        <w:t>the</w:t>
      </w:r>
      <w:r w:rsidRPr="00AC1D26">
        <w:t xml:space="preserve"> National Policy and the Plan of Action on Disability (2006)</w:t>
      </w:r>
      <w:r w:rsidRPr="00AC1D26">
        <w:rPr>
          <w:lang w:eastAsia="ko-KR"/>
        </w:rPr>
        <w:t>,</w:t>
      </w:r>
      <w:r w:rsidR="00AA347B" w:rsidRPr="00AC1D26">
        <w:rPr>
          <w:lang w:eastAsia="ko-KR"/>
        </w:rPr>
        <w:t xml:space="preserve"> to </w:t>
      </w:r>
      <w:r w:rsidRPr="00AC1D26">
        <w:rPr>
          <w:lang w:eastAsia="ko-KR"/>
        </w:rPr>
        <w:t xml:space="preserve">persons with disabilities in urban and city environment </w:t>
      </w:r>
      <w:r w:rsidR="00D714C2" w:rsidRPr="00AC1D26">
        <w:rPr>
          <w:lang w:eastAsia="ko-KR"/>
        </w:rPr>
        <w:t xml:space="preserve">thereby </w:t>
      </w:r>
      <w:r w:rsidR="00A901D7" w:rsidRPr="00AC1D26">
        <w:rPr>
          <w:lang w:eastAsia="ko-KR"/>
        </w:rPr>
        <w:t xml:space="preserve">excluding </w:t>
      </w:r>
      <w:r w:rsidRPr="00AC1D26">
        <w:rPr>
          <w:lang w:eastAsia="ko-KR"/>
        </w:rPr>
        <w:t xml:space="preserve">all groups of </w:t>
      </w:r>
      <w:r w:rsidR="00A901D7" w:rsidRPr="00AC1D26">
        <w:rPr>
          <w:lang w:eastAsia="ko-KR"/>
        </w:rPr>
        <w:t xml:space="preserve">persons </w:t>
      </w:r>
      <w:r w:rsidRPr="00AC1D26">
        <w:rPr>
          <w:lang w:eastAsia="ko-KR"/>
        </w:rPr>
        <w:t>with disabilities living in rural and remote rugged mountain</w:t>
      </w:r>
      <w:r w:rsidR="00AA347B" w:rsidRPr="00AC1D26">
        <w:rPr>
          <w:lang w:eastAsia="ko-KR"/>
        </w:rPr>
        <w:t>ous</w:t>
      </w:r>
      <w:r w:rsidRPr="00AC1D26">
        <w:rPr>
          <w:lang w:eastAsia="ko-KR"/>
        </w:rPr>
        <w:t xml:space="preserve"> areas.</w:t>
      </w:r>
    </w:p>
    <w:p w14:paraId="5E35D483" w14:textId="1614AB81" w:rsidR="00A901D7" w:rsidRPr="00AC1D26" w:rsidRDefault="00F77C10" w:rsidP="00C86824">
      <w:pPr>
        <w:pStyle w:val="SingleTxtG"/>
        <w:numPr>
          <w:ilvl w:val="0"/>
          <w:numId w:val="10"/>
        </w:numPr>
        <w:ind w:left="1134" w:firstLine="0"/>
        <w:rPr>
          <w:b/>
          <w:lang w:eastAsia="ko-KR"/>
        </w:rPr>
      </w:pPr>
      <w:r w:rsidRPr="00AC1D26">
        <w:rPr>
          <w:b/>
          <w:lang w:eastAsia="ko-KR"/>
        </w:rPr>
        <w:t xml:space="preserve">The Committee </w:t>
      </w:r>
      <w:r w:rsidR="009A69E6" w:rsidRPr="00AC1D26">
        <w:rPr>
          <w:b/>
          <w:lang w:eastAsia="ko-KR"/>
        </w:rPr>
        <w:t>recommends that the State party</w:t>
      </w:r>
      <w:r w:rsidR="00F44201" w:rsidRPr="00AC1D26">
        <w:rPr>
          <w:b/>
          <w:lang w:eastAsia="ko-KR"/>
        </w:rPr>
        <w:t xml:space="preserve"> in line with the Committee’s General Comment No. 2</w:t>
      </w:r>
      <w:r w:rsidR="00C70D83" w:rsidRPr="00AC1D26">
        <w:rPr>
          <w:b/>
          <w:lang w:eastAsia="ko-KR"/>
        </w:rPr>
        <w:t xml:space="preserve"> (2014)</w:t>
      </w:r>
      <w:r w:rsidR="00E06B73" w:rsidRPr="00AC1D26">
        <w:rPr>
          <w:b/>
          <w:lang w:eastAsia="ko-KR"/>
        </w:rPr>
        <w:t xml:space="preserve"> on accessibility</w:t>
      </w:r>
      <w:r w:rsidR="00D027C1" w:rsidRPr="00AC1D26">
        <w:rPr>
          <w:b/>
          <w:lang w:eastAsia="ko-KR"/>
        </w:rPr>
        <w:t>:</w:t>
      </w:r>
    </w:p>
    <w:p w14:paraId="67E29715" w14:textId="50128751" w:rsidR="00A901D7" w:rsidRPr="00AC1D26" w:rsidRDefault="00A901D7" w:rsidP="0041562B">
      <w:pPr>
        <w:pStyle w:val="SingleTxtG"/>
        <w:ind w:firstLine="567"/>
        <w:rPr>
          <w:b/>
          <w:lang w:eastAsia="ko-KR"/>
        </w:rPr>
      </w:pPr>
      <w:r w:rsidRPr="00FA17F8">
        <w:rPr>
          <w:lang w:eastAsia="ko-KR"/>
        </w:rPr>
        <w:t>(a)</w:t>
      </w:r>
      <w:r w:rsidRPr="00FA17F8">
        <w:rPr>
          <w:lang w:eastAsia="ko-KR"/>
        </w:rPr>
        <w:tab/>
      </w:r>
      <w:r w:rsidRPr="00AC1D26">
        <w:rPr>
          <w:b/>
          <w:lang w:eastAsia="ko-KR"/>
        </w:rPr>
        <w:t>B</w:t>
      </w:r>
      <w:r w:rsidR="00F77C10" w:rsidRPr="00AC1D26">
        <w:rPr>
          <w:b/>
          <w:lang w:eastAsia="ko-KR"/>
        </w:rPr>
        <w:t xml:space="preserve">roaden its policy for accessibility to include all groups of </w:t>
      </w:r>
      <w:r w:rsidRPr="00AC1D26">
        <w:rPr>
          <w:b/>
          <w:lang w:eastAsia="ko-KR"/>
        </w:rPr>
        <w:t xml:space="preserve">persons </w:t>
      </w:r>
      <w:r w:rsidR="00F77C10" w:rsidRPr="00AC1D26">
        <w:rPr>
          <w:b/>
          <w:lang w:eastAsia="ko-KR"/>
        </w:rPr>
        <w:t>with disabilities</w:t>
      </w:r>
      <w:r w:rsidR="00F44201" w:rsidRPr="00AC1D26">
        <w:rPr>
          <w:b/>
          <w:lang w:eastAsia="ko-KR"/>
        </w:rPr>
        <w:t xml:space="preserve">, including those </w:t>
      </w:r>
      <w:r w:rsidR="00F77C10" w:rsidRPr="00AC1D26">
        <w:rPr>
          <w:b/>
          <w:lang w:eastAsia="ko-KR"/>
        </w:rPr>
        <w:t>living in rural and remote rugged mountain</w:t>
      </w:r>
      <w:r w:rsidR="00AA347B" w:rsidRPr="00AC1D26">
        <w:rPr>
          <w:b/>
          <w:lang w:eastAsia="ko-KR"/>
        </w:rPr>
        <w:t>ous</w:t>
      </w:r>
      <w:r w:rsidR="00F77C10" w:rsidRPr="00AC1D26">
        <w:rPr>
          <w:b/>
          <w:lang w:eastAsia="ko-KR"/>
        </w:rPr>
        <w:t xml:space="preserve"> areas</w:t>
      </w:r>
      <w:r w:rsidRPr="00AC1D26">
        <w:rPr>
          <w:b/>
          <w:lang w:eastAsia="ko-KR"/>
        </w:rPr>
        <w:t>;</w:t>
      </w:r>
    </w:p>
    <w:p w14:paraId="4CAB3EEB" w14:textId="23A834EC" w:rsidR="00A901D7" w:rsidRPr="00AC1D26" w:rsidRDefault="00A901D7" w:rsidP="0041562B">
      <w:pPr>
        <w:pStyle w:val="SingleTxtG"/>
        <w:ind w:firstLine="567"/>
        <w:rPr>
          <w:b/>
          <w:lang w:eastAsia="ko-KR"/>
        </w:rPr>
      </w:pPr>
      <w:r w:rsidRPr="00FA17F8">
        <w:rPr>
          <w:lang w:eastAsia="ko-KR"/>
        </w:rPr>
        <w:t>(b)</w:t>
      </w:r>
      <w:r w:rsidRPr="00FA17F8">
        <w:rPr>
          <w:lang w:eastAsia="ko-KR"/>
        </w:rPr>
        <w:tab/>
      </w:r>
      <w:r w:rsidRPr="00AC1D26">
        <w:rPr>
          <w:b/>
          <w:lang w:eastAsia="ko-KR"/>
        </w:rPr>
        <w:t>Strengthen measures, including public procurement to grant access by persons with disabilities to information and communications technologies, including by the provision of low-cost software and assistive devices for all persons with disabilities, includi</w:t>
      </w:r>
      <w:r w:rsidR="00CD1BB1" w:rsidRPr="00AC1D26">
        <w:rPr>
          <w:b/>
          <w:lang w:eastAsia="ko-KR"/>
        </w:rPr>
        <w:t>ng those living in rural areas;</w:t>
      </w:r>
    </w:p>
    <w:p w14:paraId="7ECBDFEE" w14:textId="6D37F2A6" w:rsidR="00F77C10" w:rsidRPr="00AC1D26" w:rsidRDefault="00A901D7" w:rsidP="00AA347B">
      <w:pPr>
        <w:pStyle w:val="SingleTxtG"/>
        <w:ind w:firstLine="567"/>
        <w:rPr>
          <w:b/>
          <w:lang w:val="de-DE" w:eastAsia="ko-KR"/>
        </w:rPr>
      </w:pPr>
      <w:r w:rsidRPr="00FA17F8">
        <w:rPr>
          <w:lang w:eastAsia="ko-KR"/>
        </w:rPr>
        <w:t>(c)</w:t>
      </w:r>
      <w:r w:rsidRPr="00FA17F8">
        <w:rPr>
          <w:lang w:eastAsia="ko-KR"/>
        </w:rPr>
        <w:tab/>
      </w:r>
      <w:r w:rsidRPr="00AC1D26">
        <w:rPr>
          <w:b/>
          <w:lang w:eastAsia="ko-KR"/>
        </w:rPr>
        <w:t>S</w:t>
      </w:r>
      <w:r w:rsidR="00F77C10" w:rsidRPr="00AC1D26">
        <w:rPr>
          <w:b/>
          <w:lang w:eastAsia="ko-KR"/>
        </w:rPr>
        <w:t xml:space="preserve">trengthen its monitoring and enforcement mechanisms </w:t>
      </w:r>
      <w:r w:rsidRPr="00AC1D26">
        <w:rPr>
          <w:b/>
          <w:lang w:eastAsia="ko-KR"/>
        </w:rPr>
        <w:t xml:space="preserve">on </w:t>
      </w:r>
      <w:r w:rsidR="00F77C10" w:rsidRPr="00AC1D26">
        <w:rPr>
          <w:b/>
          <w:lang w:eastAsia="ko-KR"/>
        </w:rPr>
        <w:t>accessibility to ensure that</w:t>
      </w:r>
      <w:r w:rsidR="00F77C10" w:rsidRPr="00AC1D26">
        <w:rPr>
          <w:b/>
        </w:rPr>
        <w:t xml:space="preserve"> </w:t>
      </w:r>
      <w:r w:rsidRPr="00AC1D26">
        <w:rPr>
          <w:b/>
        </w:rPr>
        <w:t xml:space="preserve">the </w:t>
      </w:r>
      <w:r w:rsidR="00F77C10" w:rsidRPr="00AC1D26">
        <w:rPr>
          <w:b/>
        </w:rPr>
        <w:t>National Policy and the Plan of Action on Disability (2006)</w:t>
      </w:r>
      <w:r w:rsidR="00F77C10" w:rsidRPr="00AC1D26">
        <w:rPr>
          <w:b/>
          <w:lang w:eastAsia="ko-KR"/>
        </w:rPr>
        <w:t xml:space="preserve">, </w:t>
      </w:r>
      <w:r w:rsidR="004A63C9" w:rsidRPr="00AC1D26">
        <w:rPr>
          <w:b/>
          <w:lang w:eastAsia="ko-KR"/>
        </w:rPr>
        <w:t>the</w:t>
      </w:r>
      <w:r w:rsidR="004A63C9" w:rsidRPr="00AC1D26">
        <w:rPr>
          <w:b/>
        </w:rPr>
        <w:t xml:space="preserve"> Right to Information Act, 2007</w:t>
      </w:r>
      <w:r w:rsidR="009501B5" w:rsidRPr="00AC1D26">
        <w:rPr>
          <w:b/>
        </w:rPr>
        <w:t>, the</w:t>
      </w:r>
      <w:r w:rsidR="004A63C9" w:rsidRPr="00AC1D26">
        <w:rPr>
          <w:b/>
        </w:rPr>
        <w:t xml:space="preserve"> </w:t>
      </w:r>
      <w:r w:rsidR="00F77C10" w:rsidRPr="00AC1D26">
        <w:rPr>
          <w:b/>
        </w:rPr>
        <w:t xml:space="preserve">new comprehensive </w:t>
      </w:r>
      <w:r w:rsidR="009501B5" w:rsidRPr="00AC1D26">
        <w:rPr>
          <w:b/>
        </w:rPr>
        <w:t>Accessibility G</w:t>
      </w:r>
      <w:r w:rsidR="00F77C10" w:rsidRPr="00AC1D26">
        <w:rPr>
          <w:b/>
        </w:rPr>
        <w:t>uidelines</w:t>
      </w:r>
      <w:r w:rsidR="009501B5" w:rsidRPr="00AC1D26">
        <w:rPr>
          <w:b/>
        </w:rPr>
        <w:t xml:space="preserve"> (2013)</w:t>
      </w:r>
      <w:r w:rsidR="00F44201" w:rsidRPr="00AC1D26">
        <w:rPr>
          <w:b/>
        </w:rPr>
        <w:t>;</w:t>
      </w:r>
      <w:r w:rsidR="00F77C10" w:rsidRPr="00AC1D26">
        <w:rPr>
          <w:b/>
        </w:rPr>
        <w:t xml:space="preserve"> </w:t>
      </w:r>
      <w:r w:rsidR="00F77C10" w:rsidRPr="00AC1D26">
        <w:rPr>
          <w:b/>
          <w:lang w:eastAsia="ko-KR"/>
        </w:rPr>
        <w:t>t</w:t>
      </w:r>
      <w:r w:rsidR="00F77C10" w:rsidRPr="00AC1D26">
        <w:rPr>
          <w:b/>
        </w:rPr>
        <w:t>he Thirteenth Plan (2013–2016)</w:t>
      </w:r>
      <w:r w:rsidR="00F77C10" w:rsidRPr="00AC1D26">
        <w:rPr>
          <w:b/>
          <w:lang w:eastAsia="ko-KR"/>
        </w:rPr>
        <w:t xml:space="preserve"> </w:t>
      </w:r>
      <w:r w:rsidR="00F44201" w:rsidRPr="00AC1D26">
        <w:rPr>
          <w:b/>
        </w:rPr>
        <w:t xml:space="preserve">and the </w:t>
      </w:r>
      <w:r w:rsidR="00C70D83" w:rsidRPr="00AC1D26">
        <w:rPr>
          <w:b/>
        </w:rPr>
        <w:t xml:space="preserve">current </w:t>
      </w:r>
      <w:r w:rsidR="00F44201" w:rsidRPr="00AC1D26">
        <w:rPr>
          <w:b/>
        </w:rPr>
        <w:t>Fourteenth Implementation Plan</w:t>
      </w:r>
      <w:r w:rsidR="00C70D83" w:rsidRPr="00AC1D26">
        <w:rPr>
          <w:b/>
        </w:rPr>
        <w:t>,</w:t>
      </w:r>
      <w:r w:rsidR="00F44201" w:rsidRPr="00AC1D26">
        <w:rPr>
          <w:b/>
        </w:rPr>
        <w:t xml:space="preserve"> </w:t>
      </w:r>
      <w:r w:rsidR="009501B5" w:rsidRPr="00AC1D26">
        <w:rPr>
          <w:b/>
          <w:lang w:eastAsia="ko-KR"/>
        </w:rPr>
        <w:t>are duly implemented.</w:t>
      </w:r>
    </w:p>
    <w:p w14:paraId="6E5AAA10" w14:textId="6AFB72FF" w:rsidR="00F77C10" w:rsidRPr="00AC1D26" w:rsidRDefault="00ED5EB8" w:rsidP="00ED5EB8">
      <w:pPr>
        <w:pStyle w:val="H23G"/>
        <w:rPr>
          <w:lang w:eastAsia="en-GB"/>
        </w:rPr>
      </w:pPr>
      <w:r w:rsidRPr="00AC1D26">
        <w:rPr>
          <w:lang w:eastAsia="en-GB"/>
        </w:rPr>
        <w:tab/>
      </w:r>
      <w:r w:rsidRPr="00AC1D26">
        <w:rPr>
          <w:lang w:eastAsia="en-GB"/>
        </w:rPr>
        <w:tab/>
      </w:r>
      <w:r w:rsidR="00F77C10" w:rsidRPr="00AC1D26">
        <w:rPr>
          <w:lang w:eastAsia="en-GB"/>
        </w:rPr>
        <w:t>Situations of risk and humanitarian emergencies (art. 11)</w:t>
      </w:r>
    </w:p>
    <w:p w14:paraId="273B2AB7" w14:textId="1664C56A" w:rsidR="00F77C10" w:rsidRPr="00AC1D26" w:rsidRDefault="00F77C10" w:rsidP="00C86824">
      <w:pPr>
        <w:pStyle w:val="SingleTxtG"/>
        <w:numPr>
          <w:ilvl w:val="0"/>
          <w:numId w:val="10"/>
        </w:numPr>
        <w:ind w:left="1134" w:firstLine="0"/>
      </w:pPr>
      <w:r w:rsidRPr="00AC1D26">
        <w:t>The Committee is concerned about the lack of specific protecti</w:t>
      </w:r>
      <w:r w:rsidRPr="00AC1D26">
        <w:rPr>
          <w:lang w:eastAsia="ko-KR"/>
        </w:rPr>
        <w:t>ve measures</w:t>
      </w:r>
      <w:r w:rsidRPr="00AC1D26">
        <w:t xml:space="preserve"> and </w:t>
      </w:r>
      <w:r w:rsidR="006777BF">
        <w:t>support</w:t>
      </w:r>
      <w:r w:rsidR="006777BF" w:rsidRPr="00AC1D26">
        <w:t xml:space="preserve"> </w:t>
      </w:r>
      <w:r w:rsidRPr="00AC1D26">
        <w:t xml:space="preserve">for persons with disabilities </w:t>
      </w:r>
      <w:r w:rsidRPr="00AC1D26">
        <w:rPr>
          <w:lang w:eastAsia="ko-KR"/>
        </w:rPr>
        <w:t>targeting speci</w:t>
      </w:r>
      <w:r w:rsidR="008F4D2A" w:rsidRPr="00AC1D26">
        <w:rPr>
          <w:lang w:eastAsia="ko-KR"/>
        </w:rPr>
        <w:t>fi</w:t>
      </w:r>
      <w:r w:rsidRPr="00AC1D26">
        <w:rPr>
          <w:lang w:eastAsia="ko-KR"/>
        </w:rPr>
        <w:t>cally</w:t>
      </w:r>
      <w:r w:rsidRPr="00AC1D26">
        <w:t xml:space="preserve"> vulnerable groups who were disproportionately affected (women, </w:t>
      </w:r>
      <w:r w:rsidR="00F44201" w:rsidRPr="00AC1D26">
        <w:t xml:space="preserve">people with leprosy, </w:t>
      </w:r>
      <w:r w:rsidRPr="00AC1D26">
        <w:t xml:space="preserve">children and indigenous peoples) </w:t>
      </w:r>
      <w:r w:rsidR="00A901D7" w:rsidRPr="00AC1D26">
        <w:t>by the</w:t>
      </w:r>
      <w:r w:rsidRPr="00AC1D26">
        <w:t xml:space="preserve"> 2015 earthquake.</w:t>
      </w:r>
    </w:p>
    <w:p w14:paraId="23E26E8C" w14:textId="2AC64640" w:rsidR="00F77C10" w:rsidRPr="00AC1D26" w:rsidRDefault="00F77C10" w:rsidP="00C86824">
      <w:pPr>
        <w:pStyle w:val="SingleTxtG"/>
        <w:numPr>
          <w:ilvl w:val="0"/>
          <w:numId w:val="10"/>
        </w:numPr>
        <w:ind w:left="1134" w:firstLine="0"/>
        <w:rPr>
          <w:b/>
          <w:bCs/>
        </w:rPr>
      </w:pPr>
      <w:r w:rsidRPr="00AC1D26">
        <w:rPr>
          <w:b/>
          <w:bCs/>
        </w:rPr>
        <w:t xml:space="preserve">The Committee recommends that the State party adopt an effective mechanism in accordance with the Sendai Framework for Disaster Risk Reduction 2015-2030 in order to have an accessible </w:t>
      </w:r>
      <w:r w:rsidR="00A901D7" w:rsidRPr="00AC1D26">
        <w:rPr>
          <w:b/>
          <w:bCs/>
        </w:rPr>
        <w:t xml:space="preserve">communication strategy </w:t>
      </w:r>
      <w:r w:rsidRPr="00AC1D26">
        <w:rPr>
          <w:b/>
          <w:bCs/>
        </w:rPr>
        <w:t xml:space="preserve">(e.g. hotlines, a text message-warning application, general manuals in sign language and Braille, etc.), and comprehensive emergency strategy and protocols for situations of </w:t>
      </w:r>
      <w:r w:rsidR="00A901D7" w:rsidRPr="00AC1D26">
        <w:rPr>
          <w:b/>
          <w:bCs/>
        </w:rPr>
        <w:t xml:space="preserve">disaster and </w:t>
      </w:r>
      <w:r w:rsidRPr="00AC1D26">
        <w:rPr>
          <w:b/>
          <w:bCs/>
        </w:rPr>
        <w:t>risk</w:t>
      </w:r>
      <w:r w:rsidR="006777BF">
        <w:rPr>
          <w:b/>
          <w:bCs/>
        </w:rPr>
        <w:t xml:space="preserve">. The Committee also recommends that the State party </w:t>
      </w:r>
      <w:r w:rsidRPr="00AC1D26">
        <w:rPr>
          <w:b/>
          <w:bCs/>
        </w:rPr>
        <w:t xml:space="preserve">require all public services to develop individual and local plans for the safe evacuation of persons with disabilities in consultations with </w:t>
      </w:r>
      <w:r w:rsidR="00AA347B" w:rsidRPr="00AC1D26">
        <w:rPr>
          <w:b/>
          <w:bCs/>
        </w:rPr>
        <w:t xml:space="preserve">them </w:t>
      </w:r>
      <w:r w:rsidRPr="00AC1D26">
        <w:rPr>
          <w:b/>
          <w:bCs/>
        </w:rPr>
        <w:t>through their representative organizations</w:t>
      </w:r>
      <w:r w:rsidR="00A901D7" w:rsidRPr="00AC1D26">
        <w:rPr>
          <w:b/>
          <w:bCs/>
        </w:rPr>
        <w:t>.</w:t>
      </w:r>
      <w:r w:rsidR="00B60258" w:rsidRPr="00AC1D26">
        <w:rPr>
          <w:b/>
          <w:bCs/>
        </w:rPr>
        <w:t xml:space="preserve"> In this regard, the State party should ensure </w:t>
      </w:r>
      <w:r w:rsidR="00ED3342" w:rsidRPr="00AC1D26">
        <w:rPr>
          <w:b/>
          <w:bCs/>
        </w:rPr>
        <w:t xml:space="preserve">that </w:t>
      </w:r>
      <w:r w:rsidR="00C70D83" w:rsidRPr="00AC1D26">
        <w:rPr>
          <w:b/>
          <w:bCs/>
        </w:rPr>
        <w:t xml:space="preserve">post-disaster </w:t>
      </w:r>
      <w:r w:rsidR="00B60258" w:rsidRPr="00AC1D26">
        <w:rPr>
          <w:b/>
          <w:bCs/>
        </w:rPr>
        <w:t>recovery and rehabilitation efforts follow a human rights based approach in order to effectively protect all persons with disabilities.</w:t>
      </w:r>
    </w:p>
    <w:p w14:paraId="40B7AFF3" w14:textId="08657B70" w:rsidR="00F77C10" w:rsidRPr="00AC1D26" w:rsidRDefault="00F77C10" w:rsidP="00265C85">
      <w:pPr>
        <w:pStyle w:val="H23G"/>
      </w:pPr>
      <w:r w:rsidRPr="00AC1D26">
        <w:tab/>
      </w:r>
      <w:r w:rsidR="00ED5EB8" w:rsidRPr="00AC1D26">
        <w:tab/>
      </w:r>
      <w:r w:rsidRPr="00AC1D26">
        <w:t>Equal recognition before the law (art. 12)</w:t>
      </w:r>
    </w:p>
    <w:p w14:paraId="61E5D4DE" w14:textId="7FAF50FE" w:rsidR="00F77C10" w:rsidRPr="00AC1D26" w:rsidRDefault="00F77C10" w:rsidP="00C86824">
      <w:pPr>
        <w:pStyle w:val="SingleTxtG"/>
        <w:numPr>
          <w:ilvl w:val="0"/>
          <w:numId w:val="10"/>
        </w:numPr>
        <w:ind w:left="1134" w:firstLine="0"/>
        <w:rPr>
          <w:lang w:eastAsia="ko-KR"/>
        </w:rPr>
      </w:pPr>
      <w:r w:rsidRPr="00AC1D26">
        <w:t xml:space="preserve">The Committee is concerned that </w:t>
      </w:r>
      <w:r w:rsidR="00F44201" w:rsidRPr="00AC1D26">
        <w:rPr>
          <w:lang w:eastAsia="ko-KR"/>
        </w:rPr>
        <w:t xml:space="preserve">no </w:t>
      </w:r>
      <w:r w:rsidRPr="00AC1D26">
        <w:rPr>
          <w:lang w:eastAsia="ko-KR"/>
        </w:rPr>
        <w:t>change</w:t>
      </w:r>
      <w:r w:rsidR="00A901D7" w:rsidRPr="00AC1D26">
        <w:rPr>
          <w:lang w:eastAsia="ko-KR"/>
        </w:rPr>
        <w:t>s</w:t>
      </w:r>
      <w:r w:rsidRPr="00AC1D26">
        <w:rPr>
          <w:lang w:eastAsia="ko-KR"/>
        </w:rPr>
        <w:t xml:space="preserve"> of legal provisions </w:t>
      </w:r>
      <w:r w:rsidR="00F15D77" w:rsidRPr="00AC1D26">
        <w:rPr>
          <w:lang w:eastAsia="ko-KR"/>
        </w:rPr>
        <w:t xml:space="preserve">to </w:t>
      </w:r>
      <w:r w:rsidR="00A901D7" w:rsidRPr="00AC1D26">
        <w:rPr>
          <w:lang w:eastAsia="ko-KR"/>
        </w:rPr>
        <w:t>replace</w:t>
      </w:r>
      <w:r w:rsidRPr="00AC1D26">
        <w:rPr>
          <w:lang w:val="en-US"/>
        </w:rPr>
        <w:t xml:space="preserve"> substitute</w:t>
      </w:r>
      <w:r w:rsidR="00C70D83" w:rsidRPr="00AC1D26">
        <w:rPr>
          <w:lang w:val="en-US"/>
        </w:rPr>
        <w:t>d</w:t>
      </w:r>
      <w:r w:rsidRPr="00AC1D26">
        <w:rPr>
          <w:lang w:val="en-US"/>
        </w:rPr>
        <w:t xml:space="preserve"> decision-making </w:t>
      </w:r>
      <w:r w:rsidR="00A901D7" w:rsidRPr="00AC1D26">
        <w:rPr>
          <w:lang w:val="en-US"/>
        </w:rPr>
        <w:t xml:space="preserve">with </w:t>
      </w:r>
      <w:r w:rsidRPr="00AC1D26">
        <w:rPr>
          <w:lang w:val="en-US"/>
        </w:rPr>
        <w:t>supported decision-making, which respects the person’s autonomy, will and preferences</w:t>
      </w:r>
      <w:r w:rsidR="00D714C2" w:rsidRPr="00AC1D26">
        <w:rPr>
          <w:lang w:val="en-US"/>
        </w:rPr>
        <w:t xml:space="preserve"> of persons with disabilities</w:t>
      </w:r>
      <w:r w:rsidR="00A901D7" w:rsidRPr="00AC1D26">
        <w:rPr>
          <w:lang w:val="en-US"/>
        </w:rPr>
        <w:t>,</w:t>
      </w:r>
      <w:r w:rsidRPr="00AC1D26">
        <w:rPr>
          <w:lang w:val="en-US"/>
        </w:rPr>
        <w:t xml:space="preserve"> in full conformity with article 12 of the Convention and general comment No. 1</w:t>
      </w:r>
      <w:r w:rsidRPr="00AC1D26">
        <w:rPr>
          <w:lang w:val="en-US" w:eastAsia="ko-KR"/>
        </w:rPr>
        <w:t xml:space="preserve"> (2014)</w:t>
      </w:r>
      <w:r w:rsidR="00F44201" w:rsidRPr="00AC1D26">
        <w:rPr>
          <w:lang w:val="en-US" w:eastAsia="ko-KR"/>
        </w:rPr>
        <w:t xml:space="preserve"> have been undertaken</w:t>
      </w:r>
      <w:r w:rsidRPr="00AC1D26">
        <w:rPr>
          <w:lang w:val="en-US" w:eastAsia="ko-KR"/>
        </w:rPr>
        <w:t>.</w:t>
      </w:r>
      <w:r w:rsidR="003157C6" w:rsidRPr="00AC1D26">
        <w:rPr>
          <w:lang w:val="en-US" w:eastAsia="ko-KR"/>
        </w:rPr>
        <w:t xml:space="preserve"> </w:t>
      </w:r>
      <w:r w:rsidR="00F15D77" w:rsidRPr="00AC1D26">
        <w:rPr>
          <w:lang w:val="en-US" w:eastAsia="ko-KR"/>
        </w:rPr>
        <w:t xml:space="preserve">The Committee is particularly concerned that while the State party is making efforts to implement supported decision making, substituted decision making is still used in the State party. </w:t>
      </w:r>
      <w:r w:rsidRPr="00AC1D26">
        <w:rPr>
          <w:lang w:val="en-US" w:eastAsia="ko-KR"/>
        </w:rPr>
        <w:t xml:space="preserve">The Committee is further concerned </w:t>
      </w:r>
      <w:r w:rsidR="00A901D7" w:rsidRPr="00AC1D26">
        <w:rPr>
          <w:lang w:val="en-US" w:eastAsia="ko-KR"/>
        </w:rPr>
        <w:t xml:space="preserve">at reports </w:t>
      </w:r>
      <w:r w:rsidRPr="00AC1D26">
        <w:rPr>
          <w:lang w:val="en-US" w:eastAsia="ko-KR"/>
        </w:rPr>
        <w:t>that</w:t>
      </w:r>
      <w:r w:rsidRPr="00AC1D26">
        <w:rPr>
          <w:lang w:eastAsia="ko-KR"/>
        </w:rPr>
        <w:t xml:space="preserve"> persons with </w:t>
      </w:r>
      <w:r w:rsidRPr="00AC1D26">
        <w:t>intellectual</w:t>
      </w:r>
      <w:r w:rsidRPr="00AC1D26">
        <w:rPr>
          <w:lang w:eastAsia="ko-KR"/>
        </w:rPr>
        <w:t xml:space="preserve"> or/</w:t>
      </w:r>
      <w:r w:rsidRPr="00AC1D26">
        <w:t xml:space="preserve">psychosocial disabilities are </w:t>
      </w:r>
      <w:r w:rsidR="00F15D77" w:rsidRPr="00AC1D26">
        <w:t xml:space="preserve">sometimes </w:t>
      </w:r>
      <w:r w:rsidRPr="00AC1D26">
        <w:t>expelled from governmental, judicial, institutional or private enterprises</w:t>
      </w:r>
      <w:r w:rsidRPr="00AC1D26">
        <w:rPr>
          <w:lang w:eastAsia="ko-KR"/>
        </w:rPr>
        <w:t xml:space="preserve">, and accordingly their equal recognition before the law is denied, </w:t>
      </w:r>
      <w:r w:rsidRPr="00AC1D26">
        <w:t>contrary to the provisions of article 12 of the Convention</w:t>
      </w:r>
      <w:r w:rsidR="003157C6" w:rsidRPr="00AC1D26">
        <w:rPr>
          <w:lang w:eastAsia="ko-KR"/>
        </w:rPr>
        <w:t>.</w:t>
      </w:r>
    </w:p>
    <w:p w14:paraId="49242F73" w14:textId="5FFDDFBF" w:rsidR="00F77C10" w:rsidRPr="00AC1D26" w:rsidRDefault="004A18D6" w:rsidP="00C86824">
      <w:pPr>
        <w:pStyle w:val="SingleTxtG"/>
        <w:numPr>
          <w:ilvl w:val="0"/>
          <w:numId w:val="10"/>
        </w:numPr>
        <w:ind w:left="1134" w:firstLine="0"/>
        <w:rPr>
          <w:lang w:eastAsia="ko-KR"/>
        </w:rPr>
      </w:pPr>
      <w:r w:rsidRPr="00AC1D26">
        <w:rPr>
          <w:b/>
          <w:bCs/>
        </w:rPr>
        <w:t xml:space="preserve">The Committee recommends that the State party revise its legislation in order to recognize the full legal capacity of </w:t>
      </w:r>
      <w:r w:rsidR="00F44201" w:rsidRPr="00AC1D26">
        <w:rPr>
          <w:b/>
          <w:bCs/>
        </w:rPr>
        <w:t xml:space="preserve">all </w:t>
      </w:r>
      <w:r w:rsidRPr="00AC1D26">
        <w:rPr>
          <w:b/>
          <w:bCs/>
        </w:rPr>
        <w:t>persons with disabilities, notwithstanding their impairment, on an equal basis with others, and introduce suppo</w:t>
      </w:r>
      <w:r w:rsidR="00AD0221" w:rsidRPr="00AC1D26">
        <w:rPr>
          <w:b/>
          <w:bCs/>
        </w:rPr>
        <w:t>rted decision-making mechanisms</w:t>
      </w:r>
      <w:r w:rsidRPr="00AC1D26">
        <w:rPr>
          <w:b/>
          <w:bCs/>
        </w:rPr>
        <w:t xml:space="preserve"> in line with the Committee’s general comment No. 1 (2014) on equal recognition before the law.</w:t>
      </w:r>
      <w:r w:rsidR="00AD0221" w:rsidRPr="00AC1D26">
        <w:rPr>
          <w:b/>
          <w:bCs/>
        </w:rPr>
        <w:t xml:space="preserve"> </w:t>
      </w:r>
      <w:r w:rsidR="00F77C10" w:rsidRPr="00AC1D26">
        <w:rPr>
          <w:b/>
          <w:lang w:val="en-US"/>
        </w:rPr>
        <w:t xml:space="preserve">The Committee further recommends that the State party provide training, in consultation and cooperation with persons with disabilities and their representative organizations, at the national, regional and local levels for all actors, including civil servants, judges and social workers, on the recognition of the legal capacity of persons with disabilities and on the </w:t>
      </w:r>
      <w:r w:rsidR="00F77C10" w:rsidRPr="00AC1D26">
        <w:rPr>
          <w:b/>
          <w:lang w:val="en-US" w:eastAsia="ko-KR"/>
        </w:rPr>
        <w:t>principles</w:t>
      </w:r>
      <w:r w:rsidR="00F77C10" w:rsidRPr="00AC1D26">
        <w:rPr>
          <w:b/>
          <w:lang w:val="en-US"/>
        </w:rPr>
        <w:t xml:space="preserve"> of supported decision-making</w:t>
      </w:r>
      <w:r w:rsidR="00F77C10" w:rsidRPr="00AC1D26">
        <w:rPr>
          <w:lang w:val="en-US"/>
        </w:rPr>
        <w:t>.</w:t>
      </w:r>
    </w:p>
    <w:p w14:paraId="0C3D30B6" w14:textId="06636781" w:rsidR="00F77C10" w:rsidRPr="00AC1D26" w:rsidRDefault="00ED5EB8" w:rsidP="00ED5EB8">
      <w:pPr>
        <w:pStyle w:val="H23G"/>
        <w:rPr>
          <w:lang w:eastAsia="ko-KR"/>
        </w:rPr>
      </w:pPr>
      <w:r w:rsidRPr="00AC1D26">
        <w:rPr>
          <w:lang w:eastAsia="ko-KR"/>
        </w:rPr>
        <w:tab/>
      </w:r>
      <w:r w:rsidRPr="00AC1D26">
        <w:rPr>
          <w:lang w:eastAsia="ko-KR"/>
        </w:rPr>
        <w:tab/>
      </w:r>
      <w:r w:rsidR="00F77C10" w:rsidRPr="00AC1D26">
        <w:rPr>
          <w:lang w:eastAsia="ko-KR"/>
        </w:rPr>
        <w:t>Access to justice (art. 13)</w:t>
      </w:r>
    </w:p>
    <w:p w14:paraId="2282791B" w14:textId="3A881385" w:rsidR="00F77C10" w:rsidRPr="00AC1D26" w:rsidRDefault="00AD0221" w:rsidP="00C86824">
      <w:pPr>
        <w:pStyle w:val="SingleTxtG"/>
        <w:numPr>
          <w:ilvl w:val="0"/>
          <w:numId w:val="10"/>
        </w:numPr>
        <w:ind w:left="1134" w:firstLine="0"/>
        <w:rPr>
          <w:b/>
          <w:lang w:eastAsia="ko-KR"/>
        </w:rPr>
      </w:pPr>
      <w:r w:rsidRPr="00AC1D26">
        <w:rPr>
          <w:lang w:eastAsia="ko-KR"/>
        </w:rPr>
        <w:t>While noting the efforts being made by the State party to ensure access to justice by persons with disabilities, t</w:t>
      </w:r>
      <w:r w:rsidR="00F77C10" w:rsidRPr="00AC1D26">
        <w:rPr>
          <w:lang w:eastAsia="ko-KR"/>
        </w:rPr>
        <w:t xml:space="preserve">he Committee </w:t>
      </w:r>
      <w:r w:rsidRPr="00AC1D26">
        <w:rPr>
          <w:lang w:eastAsia="ko-KR"/>
        </w:rPr>
        <w:t xml:space="preserve">remains </w:t>
      </w:r>
      <w:r w:rsidR="00F77C10" w:rsidRPr="00AC1D26">
        <w:rPr>
          <w:lang w:eastAsia="ko-KR"/>
        </w:rPr>
        <w:t xml:space="preserve">concerned about the lack of explicit provisions </w:t>
      </w:r>
      <w:r w:rsidRPr="00AC1D26">
        <w:rPr>
          <w:lang w:eastAsia="ko-KR"/>
        </w:rPr>
        <w:t xml:space="preserve">for </w:t>
      </w:r>
      <w:r w:rsidR="00F77C10" w:rsidRPr="00AC1D26">
        <w:rPr>
          <w:lang w:eastAsia="ko-KR"/>
        </w:rPr>
        <w:t xml:space="preserve">ensuring disability type and age appropriate accommodation in situations necessary for guaranteeing access to justice for persons with disabilities. </w:t>
      </w:r>
      <w:r w:rsidRPr="00AC1D26">
        <w:rPr>
          <w:lang w:eastAsia="ko-KR"/>
        </w:rPr>
        <w:t xml:space="preserve">It is also concerned at reports of </w:t>
      </w:r>
      <w:r w:rsidR="00F77C10" w:rsidRPr="00AC1D26">
        <w:rPr>
          <w:lang w:eastAsia="ko-KR"/>
        </w:rPr>
        <w:t xml:space="preserve">the </w:t>
      </w:r>
      <w:r w:rsidR="003D2A39" w:rsidRPr="00AC1D26">
        <w:rPr>
          <w:lang w:eastAsia="ko-KR"/>
        </w:rPr>
        <w:t>insufficient use</w:t>
      </w:r>
      <w:r w:rsidR="00F77C10" w:rsidRPr="00AC1D26">
        <w:rPr>
          <w:lang w:eastAsia="ko-KR"/>
        </w:rPr>
        <w:t xml:space="preserve"> of sign language, Braille </w:t>
      </w:r>
      <w:r w:rsidR="004907C2" w:rsidRPr="00AC1D26">
        <w:rPr>
          <w:lang w:eastAsia="ko-KR"/>
        </w:rPr>
        <w:t xml:space="preserve">as well as Easy Read, </w:t>
      </w:r>
      <w:r w:rsidR="00F77C10" w:rsidRPr="00AC1D26">
        <w:rPr>
          <w:lang w:eastAsia="ko-KR"/>
        </w:rPr>
        <w:t xml:space="preserve">and </w:t>
      </w:r>
      <w:r w:rsidRPr="00AC1D26">
        <w:rPr>
          <w:lang w:eastAsia="ko-KR"/>
        </w:rPr>
        <w:t xml:space="preserve">the lack of </w:t>
      </w:r>
      <w:r w:rsidR="00F77C10" w:rsidRPr="00AC1D26">
        <w:rPr>
          <w:lang w:eastAsia="ko-KR"/>
        </w:rPr>
        <w:t xml:space="preserve">appropriate </w:t>
      </w:r>
      <w:r w:rsidR="004907C2" w:rsidRPr="00AC1D26">
        <w:rPr>
          <w:lang w:eastAsia="ko-KR"/>
        </w:rPr>
        <w:t xml:space="preserve">awareness </w:t>
      </w:r>
      <w:r w:rsidR="00F77C10" w:rsidRPr="00AC1D26">
        <w:rPr>
          <w:lang w:eastAsia="ko-KR"/>
        </w:rPr>
        <w:t>training for judicial, legal and law enforcement professionals.</w:t>
      </w:r>
    </w:p>
    <w:p w14:paraId="151D0A2A" w14:textId="2398409E" w:rsidR="00840D65" w:rsidRPr="00AC1D26" w:rsidRDefault="00F77C10" w:rsidP="00C86824">
      <w:pPr>
        <w:pStyle w:val="SingleTxtG"/>
        <w:numPr>
          <w:ilvl w:val="0"/>
          <w:numId w:val="10"/>
        </w:numPr>
        <w:ind w:left="1134" w:firstLine="0"/>
        <w:rPr>
          <w:b/>
          <w:lang w:eastAsia="ko-KR"/>
        </w:rPr>
      </w:pPr>
      <w:r w:rsidRPr="00AC1D26">
        <w:rPr>
          <w:b/>
          <w:lang w:eastAsia="ko-KR"/>
        </w:rPr>
        <w:t xml:space="preserve">The Committee recommends that the State party </w:t>
      </w:r>
      <w:r w:rsidR="00BC0AFE" w:rsidRPr="00AC1D26">
        <w:rPr>
          <w:b/>
          <w:lang w:eastAsia="ko-KR"/>
        </w:rPr>
        <w:t xml:space="preserve">take appropriate measures </w:t>
      </w:r>
      <w:r w:rsidR="005C3573">
        <w:rPr>
          <w:b/>
        </w:rPr>
        <w:t xml:space="preserve">to </w:t>
      </w:r>
      <w:r w:rsidR="00BC0AFE" w:rsidRPr="00AC1D26">
        <w:rPr>
          <w:b/>
          <w:lang w:eastAsia="ko-KR"/>
        </w:rPr>
        <w:t>ensure</w:t>
      </w:r>
      <w:r w:rsidRPr="00AC1D26">
        <w:rPr>
          <w:b/>
        </w:rPr>
        <w:t xml:space="preserve"> physical access, accessible legal services and qualified sign</w:t>
      </w:r>
      <w:r w:rsidRPr="00AC1D26">
        <w:rPr>
          <w:b/>
        </w:rPr>
        <w:noBreakHyphen/>
        <w:t>language and tactile sign interpreters in courtrooms and police stations</w:t>
      </w:r>
      <w:r w:rsidRPr="00AC1D26">
        <w:rPr>
          <w:b/>
          <w:lang w:eastAsia="ko-KR"/>
        </w:rPr>
        <w:t xml:space="preserve">, including measures to ensure that persons with disabilities </w:t>
      </w:r>
      <w:r w:rsidR="004A18D6" w:rsidRPr="00AC1D26">
        <w:rPr>
          <w:b/>
          <w:lang w:eastAsia="ko-KR"/>
        </w:rPr>
        <w:t>are not</w:t>
      </w:r>
      <w:r w:rsidRPr="00AC1D26">
        <w:rPr>
          <w:b/>
          <w:lang w:eastAsia="ko-KR"/>
        </w:rPr>
        <w:t xml:space="preserve"> discriminated </w:t>
      </w:r>
      <w:r w:rsidR="004A18D6" w:rsidRPr="00AC1D26">
        <w:rPr>
          <w:b/>
          <w:lang w:eastAsia="ko-KR"/>
        </w:rPr>
        <w:t xml:space="preserve">against </w:t>
      </w:r>
      <w:r w:rsidRPr="00AC1D26">
        <w:rPr>
          <w:b/>
          <w:lang w:eastAsia="ko-KR"/>
        </w:rPr>
        <w:t xml:space="preserve">on account of </w:t>
      </w:r>
      <w:r w:rsidR="004A18D6" w:rsidRPr="00AC1D26">
        <w:rPr>
          <w:b/>
          <w:lang w:eastAsia="ko-KR"/>
        </w:rPr>
        <w:t xml:space="preserve">their disability </w:t>
      </w:r>
      <w:r w:rsidRPr="00AC1D26">
        <w:rPr>
          <w:b/>
          <w:lang w:eastAsia="ko-KR"/>
        </w:rPr>
        <w:t>(when sign language or Braille is required), or due to the lack of appropriate training of legal profession</w:t>
      </w:r>
      <w:r w:rsidR="004907C2" w:rsidRPr="00AC1D26">
        <w:rPr>
          <w:b/>
          <w:lang w:eastAsia="ko-KR"/>
        </w:rPr>
        <w:t>als</w:t>
      </w:r>
      <w:r w:rsidRPr="00AC1D26">
        <w:rPr>
          <w:b/>
          <w:lang w:eastAsia="ko-KR"/>
        </w:rPr>
        <w:t>, police and prison officers.</w:t>
      </w:r>
    </w:p>
    <w:p w14:paraId="21864C96" w14:textId="34F62890" w:rsidR="00F77C10" w:rsidRPr="00AC1D26" w:rsidRDefault="00ED5EB8" w:rsidP="00ED5EB8">
      <w:pPr>
        <w:pStyle w:val="H23G"/>
        <w:rPr>
          <w:lang w:eastAsia="ko-KR"/>
        </w:rPr>
      </w:pPr>
      <w:r w:rsidRPr="00AC1D26">
        <w:rPr>
          <w:lang w:eastAsia="ko-KR"/>
        </w:rPr>
        <w:tab/>
      </w:r>
      <w:r w:rsidRPr="00AC1D26">
        <w:rPr>
          <w:lang w:eastAsia="ko-KR"/>
        </w:rPr>
        <w:tab/>
      </w:r>
      <w:r w:rsidR="00F77C10" w:rsidRPr="00AC1D26">
        <w:rPr>
          <w:lang w:eastAsia="ko-KR"/>
        </w:rPr>
        <w:t xml:space="preserve">Liberty and security of the person (art. 14) </w:t>
      </w:r>
    </w:p>
    <w:p w14:paraId="3834E58B" w14:textId="22F3A0F4" w:rsidR="00F77C10" w:rsidRPr="00AC1D26" w:rsidRDefault="00F77C10" w:rsidP="00C86824">
      <w:pPr>
        <w:pStyle w:val="SingleTxtG"/>
        <w:numPr>
          <w:ilvl w:val="0"/>
          <w:numId w:val="10"/>
        </w:numPr>
        <w:ind w:left="1134" w:firstLine="0"/>
        <w:rPr>
          <w:lang w:eastAsia="ko-KR"/>
        </w:rPr>
      </w:pPr>
      <w:r w:rsidRPr="00AC1D26">
        <w:rPr>
          <w:lang w:eastAsia="ko-KR"/>
        </w:rPr>
        <w:t xml:space="preserve">The </w:t>
      </w:r>
      <w:r w:rsidR="008F4D2A" w:rsidRPr="00AC1D26">
        <w:rPr>
          <w:lang w:eastAsia="ko-KR"/>
        </w:rPr>
        <w:t xml:space="preserve">Committed is </w:t>
      </w:r>
      <w:r w:rsidRPr="00AC1D26">
        <w:rPr>
          <w:lang w:eastAsia="ko-KR"/>
        </w:rPr>
        <w:t>concern</w:t>
      </w:r>
      <w:r w:rsidR="008F4D2A" w:rsidRPr="00AC1D26">
        <w:rPr>
          <w:lang w:eastAsia="ko-KR"/>
        </w:rPr>
        <w:t>ed</w:t>
      </w:r>
      <w:r w:rsidRPr="00AC1D26">
        <w:rPr>
          <w:lang w:eastAsia="ko-KR"/>
        </w:rPr>
        <w:t xml:space="preserve"> that </w:t>
      </w:r>
      <w:r w:rsidRPr="00AC1D26">
        <w:t>persons with intellectual</w:t>
      </w:r>
      <w:r w:rsidR="00C70D83" w:rsidRPr="00AC1D26">
        <w:t xml:space="preserve"> </w:t>
      </w:r>
      <w:r w:rsidRPr="00AC1D26">
        <w:t>and</w:t>
      </w:r>
      <w:r w:rsidR="004907C2" w:rsidRPr="00AC1D26">
        <w:t>/or</w:t>
      </w:r>
      <w:r w:rsidRPr="00AC1D26">
        <w:t xml:space="preserve"> psycho-social disabilities are </w:t>
      </w:r>
      <w:r w:rsidR="008F4D2A" w:rsidRPr="00AC1D26">
        <w:t xml:space="preserve">allegedly </w:t>
      </w:r>
      <w:r w:rsidRPr="00AC1D26">
        <w:t>chained or detained in house</w:t>
      </w:r>
      <w:r w:rsidR="008F4D2A" w:rsidRPr="00AC1D26">
        <w:t>s</w:t>
      </w:r>
      <w:r w:rsidRPr="00AC1D26">
        <w:t xml:space="preserve"> or forc</w:t>
      </w:r>
      <w:r w:rsidR="008F4D2A" w:rsidRPr="00AC1D26">
        <w:t>ibly</w:t>
      </w:r>
      <w:r w:rsidRPr="00AC1D26">
        <w:t xml:space="preserve"> placed in psychiatric facilities</w:t>
      </w:r>
      <w:r w:rsidRPr="00AC1D26">
        <w:rPr>
          <w:lang w:eastAsia="ko-KR"/>
        </w:rPr>
        <w:t xml:space="preserve">, </w:t>
      </w:r>
      <w:r w:rsidR="008F4D2A" w:rsidRPr="00AC1D26">
        <w:rPr>
          <w:lang w:eastAsia="ko-KR"/>
        </w:rPr>
        <w:t xml:space="preserve">and that </w:t>
      </w:r>
      <w:r w:rsidRPr="00AC1D26">
        <w:rPr>
          <w:lang w:eastAsia="ko-KR"/>
        </w:rPr>
        <w:t>p</w:t>
      </w:r>
      <w:r w:rsidRPr="00AC1D26">
        <w:t xml:space="preserve">hysical examinations, medical treatments and medications are </w:t>
      </w:r>
      <w:r w:rsidR="00AD0221" w:rsidRPr="00AC1D26">
        <w:t xml:space="preserve">sometimes </w:t>
      </w:r>
      <w:r w:rsidRPr="00AC1D26">
        <w:t>carried out without the free consent of persons with disabilities</w:t>
      </w:r>
      <w:r w:rsidRPr="00AC1D26">
        <w:rPr>
          <w:lang w:eastAsia="ko-KR"/>
        </w:rPr>
        <w:t xml:space="preserve"> as well as</w:t>
      </w:r>
      <w:r w:rsidRPr="00AC1D26">
        <w:t xml:space="preserve"> reported cases of chain</w:t>
      </w:r>
      <w:r w:rsidRPr="00AC1D26">
        <w:rPr>
          <w:lang w:eastAsia="ko-KR"/>
        </w:rPr>
        <w:t>ing</w:t>
      </w:r>
      <w:r w:rsidR="008F4D2A" w:rsidRPr="00AC1D26">
        <w:rPr>
          <w:lang w:eastAsia="ko-KR"/>
        </w:rPr>
        <w:t>,</w:t>
      </w:r>
      <w:r w:rsidRPr="00AC1D26">
        <w:t xml:space="preserve"> tortur</w:t>
      </w:r>
      <w:r w:rsidRPr="00AC1D26">
        <w:rPr>
          <w:lang w:eastAsia="ko-KR"/>
        </w:rPr>
        <w:t>ing</w:t>
      </w:r>
      <w:r w:rsidRPr="00AC1D26">
        <w:t xml:space="preserve"> and over-doz</w:t>
      </w:r>
      <w:r w:rsidRPr="00AC1D26">
        <w:rPr>
          <w:lang w:eastAsia="ko-KR"/>
        </w:rPr>
        <w:t xml:space="preserve">ing </w:t>
      </w:r>
      <w:r w:rsidR="00AD0221" w:rsidRPr="00AC1D26">
        <w:rPr>
          <w:lang w:eastAsia="ko-KR"/>
        </w:rPr>
        <w:t xml:space="preserve">of </w:t>
      </w:r>
      <w:r w:rsidRPr="00AC1D26">
        <w:t>persons with intellectual disabilities in psychiatric treatment facilities.</w:t>
      </w:r>
    </w:p>
    <w:p w14:paraId="6056E82D" w14:textId="777262EA" w:rsidR="00F77C10" w:rsidRPr="00AC1D26" w:rsidRDefault="00F77C10" w:rsidP="00BB362F">
      <w:pPr>
        <w:pStyle w:val="SingleTxtG"/>
        <w:numPr>
          <w:ilvl w:val="0"/>
          <w:numId w:val="10"/>
        </w:numPr>
        <w:ind w:left="1134" w:firstLine="0"/>
      </w:pPr>
      <w:r w:rsidRPr="00AC1D26">
        <w:rPr>
          <w:b/>
        </w:rPr>
        <w:t xml:space="preserve">The Committee recommends that the State party </w:t>
      </w:r>
      <w:r w:rsidR="004A18D6" w:rsidRPr="00AC1D26">
        <w:rPr>
          <w:b/>
        </w:rPr>
        <w:t>t</w:t>
      </w:r>
      <w:r w:rsidR="004A18D6" w:rsidRPr="00AC1D26">
        <w:rPr>
          <w:b/>
          <w:bCs/>
        </w:rPr>
        <w:t xml:space="preserve">ake all legal and other </w:t>
      </w:r>
      <w:r w:rsidR="00AD0221" w:rsidRPr="00AC1D26">
        <w:rPr>
          <w:b/>
          <w:bCs/>
        </w:rPr>
        <w:t xml:space="preserve">appropriate </w:t>
      </w:r>
      <w:r w:rsidR="004A18D6" w:rsidRPr="00AC1D26">
        <w:rPr>
          <w:b/>
          <w:bCs/>
        </w:rPr>
        <w:t>measures necessary to stop the deprivation of liberty of persons with disabilities on the basis of actual or perceived impairment</w:t>
      </w:r>
      <w:r w:rsidR="004907C2" w:rsidRPr="00AC1D26">
        <w:rPr>
          <w:b/>
          <w:bCs/>
        </w:rPr>
        <w:t>, and that any examination or treatment of person</w:t>
      </w:r>
      <w:r w:rsidR="00C70D83" w:rsidRPr="00AC1D26">
        <w:rPr>
          <w:b/>
          <w:bCs/>
        </w:rPr>
        <w:t>s with disabilities</w:t>
      </w:r>
      <w:r w:rsidR="004907C2" w:rsidRPr="00AC1D26">
        <w:rPr>
          <w:b/>
          <w:bCs/>
        </w:rPr>
        <w:t xml:space="preserve"> be undertaken after free and informed consent of the person</w:t>
      </w:r>
      <w:r w:rsidR="00C70D83" w:rsidRPr="00AC1D26">
        <w:rPr>
          <w:b/>
          <w:bCs/>
        </w:rPr>
        <w:t>s</w:t>
      </w:r>
      <w:r w:rsidR="004907C2" w:rsidRPr="00AC1D26">
        <w:rPr>
          <w:b/>
          <w:bCs/>
        </w:rPr>
        <w:t xml:space="preserve"> concerned</w:t>
      </w:r>
      <w:r w:rsidR="00C70D83" w:rsidRPr="00AC1D26">
        <w:rPr>
          <w:b/>
          <w:bCs/>
        </w:rPr>
        <w:t>, in line with the</w:t>
      </w:r>
      <w:r w:rsidR="00C70D83" w:rsidRPr="00FA17F8">
        <w:rPr>
          <w:rFonts w:eastAsiaTheme="minorHAnsi"/>
          <w:sz w:val="22"/>
          <w:szCs w:val="22"/>
        </w:rPr>
        <w:t xml:space="preserve"> </w:t>
      </w:r>
      <w:r w:rsidR="00C70D83" w:rsidRPr="00AC1D26">
        <w:rPr>
          <w:b/>
          <w:bCs/>
        </w:rPr>
        <w:t>Committee’s guidelines on the right to liberty and security of persons with disabilities, adopted by the Committee at its fourteenth session (17 August-4 September 2015) (see Report of the Committee on the Rights of Persons with Disabilities Supplement No. 55 (A/72/55), Annex). I</w:t>
      </w:r>
      <w:r w:rsidR="0010167B" w:rsidRPr="00AC1D26">
        <w:rPr>
          <w:b/>
          <w:bCs/>
        </w:rPr>
        <w:t xml:space="preserve">n this regard, the Committee recommends that the State party investigate, prosecute and punish cases of chaining, detention in private homes, and forcible placement </w:t>
      </w:r>
      <w:r w:rsidR="00D714C2" w:rsidRPr="00AC1D26">
        <w:rPr>
          <w:b/>
          <w:bCs/>
        </w:rPr>
        <w:t xml:space="preserve">and treatment </w:t>
      </w:r>
      <w:r w:rsidR="0010167B" w:rsidRPr="00AC1D26">
        <w:rPr>
          <w:b/>
          <w:bCs/>
        </w:rPr>
        <w:t>in psychiatric facilities</w:t>
      </w:r>
      <w:r w:rsidRPr="00AC1D26">
        <w:t xml:space="preserve">. </w:t>
      </w:r>
    </w:p>
    <w:p w14:paraId="0115E8A8" w14:textId="3826F4C8" w:rsidR="00F77C10" w:rsidRPr="00AC1D26" w:rsidRDefault="00ED5EB8" w:rsidP="00ED5EB8">
      <w:pPr>
        <w:pStyle w:val="H23G"/>
        <w:rPr>
          <w:lang w:eastAsia="ko-KR"/>
        </w:rPr>
      </w:pPr>
      <w:r w:rsidRPr="00AC1D26">
        <w:tab/>
      </w:r>
      <w:r w:rsidRPr="00AC1D26">
        <w:tab/>
      </w:r>
      <w:r w:rsidR="00F77C10" w:rsidRPr="00AC1D26">
        <w:t>Freedom from Exploitation, Violence and Abuse</w:t>
      </w:r>
      <w:r w:rsidR="00AD0221" w:rsidRPr="00AC1D26">
        <w:rPr>
          <w:lang w:eastAsia="ko-KR"/>
        </w:rPr>
        <w:t xml:space="preserve"> (ar</w:t>
      </w:r>
      <w:r w:rsidR="00F77C10" w:rsidRPr="00AC1D26">
        <w:rPr>
          <w:lang w:eastAsia="ko-KR"/>
        </w:rPr>
        <w:t>t.</w:t>
      </w:r>
      <w:r w:rsidR="003A2038" w:rsidRPr="00AC1D26">
        <w:rPr>
          <w:lang w:eastAsia="ko-KR"/>
        </w:rPr>
        <w:t xml:space="preserve"> </w:t>
      </w:r>
      <w:r w:rsidR="00F77C10" w:rsidRPr="00AC1D26">
        <w:rPr>
          <w:lang w:eastAsia="ko-KR"/>
        </w:rPr>
        <w:t>16)</w:t>
      </w:r>
    </w:p>
    <w:p w14:paraId="408B347F" w14:textId="0CAA6872" w:rsidR="00F77C10" w:rsidRPr="00AC1D26" w:rsidRDefault="00F77C10" w:rsidP="00C86824">
      <w:pPr>
        <w:pStyle w:val="SingleTxtG"/>
        <w:numPr>
          <w:ilvl w:val="0"/>
          <w:numId w:val="10"/>
        </w:numPr>
        <w:ind w:left="1134" w:firstLine="0"/>
        <w:rPr>
          <w:bCs/>
        </w:rPr>
      </w:pPr>
      <w:r w:rsidRPr="00AC1D26">
        <w:t xml:space="preserve">The Committee is concerned </w:t>
      </w:r>
      <w:r w:rsidR="0036609D" w:rsidRPr="00AC1D26">
        <w:t xml:space="preserve">about the </w:t>
      </w:r>
      <w:r w:rsidRPr="00AC1D26">
        <w:t>absence of any</w:t>
      </w:r>
      <w:r w:rsidRPr="00AC1D26">
        <w:rPr>
          <w:bCs/>
        </w:rPr>
        <w:t xml:space="preserve"> monitoring </w:t>
      </w:r>
      <w:r w:rsidR="0036609D" w:rsidRPr="00AC1D26">
        <w:rPr>
          <w:bCs/>
        </w:rPr>
        <w:t xml:space="preserve">mechanism </w:t>
      </w:r>
      <w:r w:rsidRPr="00AC1D26">
        <w:rPr>
          <w:bCs/>
        </w:rPr>
        <w:t xml:space="preserve">to </w:t>
      </w:r>
      <w:r w:rsidR="0036609D" w:rsidRPr="00AC1D26">
        <w:rPr>
          <w:bCs/>
        </w:rPr>
        <w:t xml:space="preserve">collect </w:t>
      </w:r>
      <w:r w:rsidRPr="00AC1D26">
        <w:rPr>
          <w:bCs/>
        </w:rPr>
        <w:t xml:space="preserve">disaggregated data on prosecution </w:t>
      </w:r>
      <w:r w:rsidR="005C3573" w:rsidRPr="00AC1D26">
        <w:rPr>
          <w:bCs/>
        </w:rPr>
        <w:t>o</w:t>
      </w:r>
      <w:r w:rsidR="005C3573">
        <w:rPr>
          <w:bCs/>
        </w:rPr>
        <w:t>f</w:t>
      </w:r>
      <w:r w:rsidR="005C3573" w:rsidRPr="00AC1D26">
        <w:rPr>
          <w:bCs/>
        </w:rPr>
        <w:t xml:space="preserve"> </w:t>
      </w:r>
      <w:r w:rsidRPr="00AC1D26">
        <w:rPr>
          <w:bCs/>
        </w:rPr>
        <w:t xml:space="preserve">cases of violence, abuse and exploitation </w:t>
      </w:r>
      <w:r w:rsidR="0036609D" w:rsidRPr="00AC1D26">
        <w:rPr>
          <w:bCs/>
        </w:rPr>
        <w:t xml:space="preserve">of </w:t>
      </w:r>
      <w:r w:rsidRPr="00AC1D26">
        <w:rPr>
          <w:bCs/>
        </w:rPr>
        <w:t xml:space="preserve">persons with disabilities; in particular data on the </w:t>
      </w:r>
      <w:r w:rsidR="0036609D" w:rsidRPr="00AC1D26">
        <w:rPr>
          <w:bCs/>
        </w:rPr>
        <w:t xml:space="preserve">sexual </w:t>
      </w:r>
      <w:r w:rsidRPr="00AC1D26">
        <w:rPr>
          <w:bCs/>
        </w:rPr>
        <w:t xml:space="preserve">exploitation </w:t>
      </w:r>
      <w:r w:rsidR="0036609D" w:rsidRPr="00AC1D26">
        <w:rPr>
          <w:bCs/>
        </w:rPr>
        <w:t xml:space="preserve">and abuse </w:t>
      </w:r>
      <w:r w:rsidRPr="00AC1D26">
        <w:rPr>
          <w:bCs/>
        </w:rPr>
        <w:t>of children and women with</w:t>
      </w:r>
      <w:r w:rsidRPr="00AC1D26">
        <w:t xml:space="preserve"> disabilities</w:t>
      </w:r>
      <w:r w:rsidRPr="00AC1D26">
        <w:rPr>
          <w:bCs/>
        </w:rPr>
        <w:t>.</w:t>
      </w:r>
    </w:p>
    <w:p w14:paraId="3769C035" w14:textId="27CA3BB4" w:rsidR="00F77C10" w:rsidRPr="00AC1D26" w:rsidRDefault="00F77C10" w:rsidP="00C86824">
      <w:pPr>
        <w:pStyle w:val="SingleTxtG"/>
        <w:numPr>
          <w:ilvl w:val="0"/>
          <w:numId w:val="10"/>
        </w:numPr>
        <w:ind w:left="1134" w:firstLine="0"/>
        <w:rPr>
          <w:b/>
        </w:rPr>
      </w:pPr>
      <w:r w:rsidRPr="00AC1D26">
        <w:rPr>
          <w:b/>
          <w:bCs/>
        </w:rPr>
        <w:t xml:space="preserve">The Committee recommends that the State party </w:t>
      </w:r>
      <w:r w:rsidR="004907C2" w:rsidRPr="00AC1D26">
        <w:rPr>
          <w:b/>
          <w:bCs/>
        </w:rPr>
        <w:t xml:space="preserve">take appropriate measures to </w:t>
      </w:r>
      <w:r w:rsidR="001A2468" w:rsidRPr="00AC1D26">
        <w:rPr>
          <w:b/>
        </w:rPr>
        <w:t>protect person</w:t>
      </w:r>
      <w:r w:rsidR="005C3573">
        <w:rPr>
          <w:b/>
        </w:rPr>
        <w:t>s with disabilities</w:t>
      </w:r>
      <w:r w:rsidR="001A2468" w:rsidRPr="00AC1D26">
        <w:rPr>
          <w:b/>
        </w:rPr>
        <w:t xml:space="preserve"> from exploitation</w:t>
      </w:r>
      <w:r w:rsidRPr="00AC1D26">
        <w:rPr>
          <w:b/>
        </w:rPr>
        <w:t>, violence and abuse both within and outside the home.</w:t>
      </w:r>
    </w:p>
    <w:p w14:paraId="6EFF8EE9" w14:textId="463590C7" w:rsidR="00F77C10" w:rsidRPr="00AC1D26" w:rsidRDefault="00ED5EB8" w:rsidP="00ED5EB8">
      <w:pPr>
        <w:pStyle w:val="H23G"/>
      </w:pPr>
      <w:r w:rsidRPr="00AC1D26">
        <w:rPr>
          <w:lang w:eastAsia="ko-KR"/>
        </w:rPr>
        <w:tab/>
      </w:r>
      <w:r w:rsidRPr="00AC1D26">
        <w:rPr>
          <w:lang w:eastAsia="ko-KR"/>
        </w:rPr>
        <w:tab/>
      </w:r>
      <w:r w:rsidR="00F77C10" w:rsidRPr="00AC1D26">
        <w:rPr>
          <w:lang w:eastAsia="ko-KR"/>
        </w:rPr>
        <w:t>Living independently and being included in the community (art. 19)</w:t>
      </w:r>
    </w:p>
    <w:p w14:paraId="5D1A82CB" w14:textId="0AB8E82A" w:rsidR="00F77C10" w:rsidRPr="00AC1D26" w:rsidRDefault="00F77C10" w:rsidP="00C86824">
      <w:pPr>
        <w:pStyle w:val="SingleTxtG"/>
        <w:numPr>
          <w:ilvl w:val="0"/>
          <w:numId w:val="10"/>
        </w:numPr>
        <w:ind w:left="1134" w:firstLine="0"/>
        <w:rPr>
          <w:lang w:val="en-US" w:eastAsia="ko-KR"/>
        </w:rPr>
      </w:pPr>
      <w:r w:rsidRPr="00AC1D26">
        <w:rPr>
          <w:lang w:eastAsia="ko-KR"/>
        </w:rPr>
        <w:t xml:space="preserve">The Committee is concerned that </w:t>
      </w:r>
      <w:r w:rsidR="009F627F" w:rsidRPr="00AC1D26">
        <w:rPr>
          <w:lang w:eastAsia="ko-KR"/>
        </w:rPr>
        <w:t xml:space="preserve">persons with disabilities are </w:t>
      </w:r>
      <w:r w:rsidR="00D93D82">
        <w:rPr>
          <w:lang w:eastAsia="ko-KR"/>
        </w:rPr>
        <w:t xml:space="preserve">not </w:t>
      </w:r>
      <w:r w:rsidR="009F627F" w:rsidRPr="00AC1D26">
        <w:rPr>
          <w:lang w:eastAsia="ko-KR"/>
        </w:rPr>
        <w:t>provided with</w:t>
      </w:r>
      <w:r w:rsidRPr="00AC1D26">
        <w:rPr>
          <w:lang w:eastAsia="ko-KR"/>
        </w:rPr>
        <w:t xml:space="preserve"> adequate</w:t>
      </w:r>
      <w:r w:rsidR="009F627F" w:rsidRPr="00AC1D26">
        <w:rPr>
          <w:lang w:eastAsia="ko-KR"/>
        </w:rPr>
        <w:t xml:space="preserve"> means to</w:t>
      </w:r>
      <w:r w:rsidRPr="00AC1D26">
        <w:rPr>
          <w:lang w:eastAsia="ko-KR"/>
        </w:rPr>
        <w:t xml:space="preserve"> </w:t>
      </w:r>
      <w:r w:rsidRPr="00AC1D26">
        <w:rPr>
          <w:lang w:val="en-US"/>
        </w:rPr>
        <w:t>enabl</w:t>
      </w:r>
      <w:r w:rsidR="009F627F" w:rsidRPr="00AC1D26">
        <w:rPr>
          <w:lang w:val="en-US"/>
        </w:rPr>
        <w:t>e</w:t>
      </w:r>
      <w:r w:rsidRPr="00AC1D26">
        <w:rPr>
          <w:lang w:val="en-US"/>
        </w:rPr>
        <w:t xml:space="preserve"> them to exercise choice and control over their lives and make all decisions concerning their lives</w:t>
      </w:r>
      <w:r w:rsidR="001A2468" w:rsidRPr="00AC1D26">
        <w:rPr>
          <w:lang w:val="en-US"/>
        </w:rPr>
        <w:t>, particularly to live independently and in communities</w:t>
      </w:r>
      <w:r w:rsidRPr="00AC1D26">
        <w:rPr>
          <w:lang w:val="en-US"/>
        </w:rPr>
        <w:t xml:space="preserve">. </w:t>
      </w:r>
      <w:r w:rsidRPr="00AC1D26">
        <w:rPr>
          <w:lang w:val="en-US" w:eastAsia="ko-KR"/>
        </w:rPr>
        <w:t xml:space="preserve">The Committee is further concerned that the State party has not adopted any policy measures </w:t>
      </w:r>
      <w:r w:rsidR="001A2468" w:rsidRPr="00AC1D26">
        <w:rPr>
          <w:lang w:val="en-US" w:eastAsia="ko-KR"/>
        </w:rPr>
        <w:t xml:space="preserve">to protect persons with disabilities </w:t>
      </w:r>
      <w:r w:rsidR="00D93D82">
        <w:rPr>
          <w:lang w:val="en-US" w:eastAsia="ko-KR"/>
        </w:rPr>
        <w:t>against forced</w:t>
      </w:r>
      <w:r w:rsidR="00D93D82" w:rsidRPr="00AC1D26">
        <w:rPr>
          <w:lang w:val="en-US" w:eastAsia="ko-KR"/>
        </w:rPr>
        <w:t xml:space="preserve"> </w:t>
      </w:r>
      <w:r w:rsidR="001A2468" w:rsidRPr="00AC1D26">
        <w:rPr>
          <w:lang w:val="en-US" w:eastAsia="ko-KR"/>
        </w:rPr>
        <w:t>in</w:t>
      </w:r>
      <w:r w:rsidR="00CD1BB1" w:rsidRPr="00AC1D26">
        <w:rPr>
          <w:lang w:val="en-US" w:eastAsia="ko-KR"/>
        </w:rPr>
        <w:t>stitutionalization.</w:t>
      </w:r>
    </w:p>
    <w:p w14:paraId="5D189337" w14:textId="3C609747" w:rsidR="00F77C10" w:rsidRPr="00AC1D26" w:rsidRDefault="009F627F" w:rsidP="00C86824">
      <w:pPr>
        <w:pStyle w:val="SingleTxtG"/>
        <w:numPr>
          <w:ilvl w:val="0"/>
          <w:numId w:val="10"/>
        </w:numPr>
        <w:ind w:left="1134" w:firstLine="0"/>
        <w:rPr>
          <w:b/>
          <w:lang w:val="en-US" w:eastAsia="ko-KR"/>
        </w:rPr>
      </w:pPr>
      <w:r w:rsidRPr="00AC1D26">
        <w:rPr>
          <w:b/>
          <w:lang w:val="en-US" w:eastAsia="ko-KR"/>
        </w:rPr>
        <w:t>In line with General Comment No. 5 (2017)</w:t>
      </w:r>
      <w:r w:rsidR="00E06B73" w:rsidRPr="00AC1D26">
        <w:rPr>
          <w:b/>
          <w:lang w:val="en-US" w:eastAsia="ko-KR"/>
        </w:rPr>
        <w:t xml:space="preserve"> on the right to independent living</w:t>
      </w:r>
      <w:r w:rsidRPr="00AC1D26">
        <w:rPr>
          <w:b/>
          <w:lang w:val="en-US" w:eastAsia="ko-KR"/>
        </w:rPr>
        <w:t>, t</w:t>
      </w:r>
      <w:r w:rsidR="00F77C10" w:rsidRPr="00AC1D26">
        <w:rPr>
          <w:b/>
          <w:lang w:val="en-US" w:eastAsia="ko-KR"/>
        </w:rPr>
        <w:t xml:space="preserve">he Committee recommends that the State party adopt a strategy to implement </w:t>
      </w:r>
      <w:r w:rsidR="00453411" w:rsidRPr="00AC1D26">
        <w:rPr>
          <w:b/>
          <w:lang w:val="en-US" w:eastAsia="ko-KR"/>
        </w:rPr>
        <w:t>independent living schemes and</w:t>
      </w:r>
      <w:r w:rsidR="00F77C10" w:rsidRPr="00AC1D26">
        <w:rPr>
          <w:b/>
          <w:lang w:val="en-US" w:eastAsia="ko-KR"/>
        </w:rPr>
        <w:t xml:space="preserve"> ensure</w:t>
      </w:r>
      <w:r w:rsidR="00F77C10" w:rsidRPr="00AC1D26">
        <w:rPr>
          <w:b/>
          <w:lang w:val="en-US"/>
        </w:rPr>
        <w:t xml:space="preserve"> access </w:t>
      </w:r>
      <w:r w:rsidR="003A2038" w:rsidRPr="00AC1D26">
        <w:rPr>
          <w:b/>
          <w:lang w:val="en-US"/>
        </w:rPr>
        <w:t xml:space="preserve">to </w:t>
      </w:r>
      <w:r w:rsidRPr="00AC1D26">
        <w:rPr>
          <w:b/>
          <w:lang w:val="en-US"/>
        </w:rPr>
        <w:t>disability specific and community services</w:t>
      </w:r>
      <w:r w:rsidR="00F77C10" w:rsidRPr="00AC1D26">
        <w:rPr>
          <w:b/>
          <w:lang w:val="en-US" w:eastAsia="ko-KR"/>
        </w:rPr>
        <w:t xml:space="preserve">. </w:t>
      </w:r>
      <w:r w:rsidR="00F77C10" w:rsidRPr="00AC1D26">
        <w:rPr>
          <w:b/>
          <w:lang w:eastAsia="ko-KR"/>
        </w:rPr>
        <w:t xml:space="preserve">The Committee also recommends that the State party ensure that persons with disabilities who live with or are dependent on their families receive </w:t>
      </w:r>
      <w:r w:rsidR="001A2468" w:rsidRPr="00AC1D26">
        <w:rPr>
          <w:b/>
          <w:lang w:eastAsia="ko-KR"/>
        </w:rPr>
        <w:t xml:space="preserve">appropriate </w:t>
      </w:r>
      <w:r w:rsidR="00F77C10" w:rsidRPr="00AC1D26">
        <w:rPr>
          <w:b/>
          <w:lang w:eastAsia="ko-KR"/>
        </w:rPr>
        <w:t xml:space="preserve">support </w:t>
      </w:r>
      <w:r w:rsidRPr="00AC1D26">
        <w:rPr>
          <w:b/>
          <w:lang w:eastAsia="ko-KR"/>
        </w:rPr>
        <w:t>to enable them to live independently in the community</w:t>
      </w:r>
      <w:r w:rsidR="001A2468" w:rsidRPr="00AC1D26">
        <w:rPr>
          <w:b/>
          <w:lang w:eastAsia="ko-KR"/>
        </w:rPr>
        <w:t>.</w:t>
      </w:r>
    </w:p>
    <w:p w14:paraId="12D48D49" w14:textId="2E74211C" w:rsidR="00F77C10" w:rsidRPr="00AC1D26" w:rsidRDefault="00ED5EB8" w:rsidP="00ED5EB8">
      <w:pPr>
        <w:pStyle w:val="H23G"/>
        <w:rPr>
          <w:lang w:eastAsia="ko-KR"/>
        </w:rPr>
      </w:pPr>
      <w:r w:rsidRPr="00AC1D26">
        <w:tab/>
      </w:r>
      <w:r w:rsidRPr="00AC1D26">
        <w:tab/>
      </w:r>
      <w:r w:rsidR="00F77C10" w:rsidRPr="00AC1D26">
        <w:t>Personal mobility</w:t>
      </w:r>
      <w:r w:rsidR="00F77C10" w:rsidRPr="00AC1D26">
        <w:rPr>
          <w:lang w:eastAsia="ko-KR"/>
        </w:rPr>
        <w:t xml:space="preserve"> (</w:t>
      </w:r>
      <w:r w:rsidR="003A2038" w:rsidRPr="00AC1D26">
        <w:rPr>
          <w:lang w:eastAsia="ko-KR"/>
        </w:rPr>
        <w:t xml:space="preserve">art. </w:t>
      </w:r>
      <w:r w:rsidR="00F77C10" w:rsidRPr="00AC1D26">
        <w:rPr>
          <w:lang w:eastAsia="ko-KR"/>
        </w:rPr>
        <w:t>20)</w:t>
      </w:r>
    </w:p>
    <w:p w14:paraId="7F3CD6FF" w14:textId="4279B55C" w:rsidR="00F77C10" w:rsidRPr="00AC1D26" w:rsidRDefault="00F77C10" w:rsidP="00C86824">
      <w:pPr>
        <w:pStyle w:val="SingleTxtG"/>
        <w:numPr>
          <w:ilvl w:val="0"/>
          <w:numId w:val="10"/>
        </w:numPr>
        <w:ind w:left="1134" w:firstLine="0"/>
        <w:rPr>
          <w:lang w:eastAsia="ko-KR"/>
        </w:rPr>
      </w:pPr>
      <w:r w:rsidRPr="00AC1D26">
        <w:rPr>
          <w:lang w:eastAsia="ko-KR"/>
        </w:rPr>
        <w:t>The Committee is</w:t>
      </w:r>
      <w:r w:rsidR="00634EA5" w:rsidRPr="00AC1D26">
        <w:rPr>
          <w:lang w:eastAsia="ko-KR"/>
        </w:rPr>
        <w:t xml:space="preserve"> </w:t>
      </w:r>
      <w:r w:rsidRPr="00AC1D26">
        <w:rPr>
          <w:lang w:eastAsia="ko-KR"/>
        </w:rPr>
        <w:t>concerned that</w:t>
      </w:r>
      <w:r w:rsidR="00634EA5" w:rsidRPr="00AC1D26">
        <w:rPr>
          <w:lang w:eastAsia="ko-KR"/>
        </w:rPr>
        <w:t xml:space="preserve"> a </w:t>
      </w:r>
      <w:r w:rsidRPr="00AC1D26">
        <w:rPr>
          <w:lang w:eastAsia="ko-KR"/>
        </w:rPr>
        <w:t>m</w:t>
      </w:r>
      <w:r w:rsidRPr="00AC1D26">
        <w:t>a</w:t>
      </w:r>
      <w:r w:rsidR="00D714C2" w:rsidRPr="00AC1D26">
        <w:t>jority of public infrastructure</w:t>
      </w:r>
      <w:r w:rsidRPr="00AC1D26">
        <w:t>, including, government offices, hospitals, schools, colleges,</w:t>
      </w:r>
      <w:r w:rsidR="00634EA5" w:rsidRPr="00AC1D26">
        <w:t xml:space="preserve"> banks, roads, public buildings and</w:t>
      </w:r>
      <w:r w:rsidRPr="00AC1D26">
        <w:t xml:space="preserve"> public transportation are not </w:t>
      </w:r>
      <w:r w:rsidRPr="00AC1D26">
        <w:rPr>
          <w:lang w:eastAsia="ko-KR"/>
        </w:rPr>
        <w:t xml:space="preserve">easily accessible for persons with </w:t>
      </w:r>
      <w:r w:rsidRPr="00AC1D26">
        <w:t>disabilities</w:t>
      </w:r>
      <w:r w:rsidRPr="00AC1D26">
        <w:rPr>
          <w:lang w:eastAsia="ko-KR"/>
        </w:rPr>
        <w:t>.</w:t>
      </w:r>
      <w:r w:rsidRPr="00AC1D26">
        <w:t xml:space="preserve"> </w:t>
      </w:r>
      <w:r w:rsidR="00B03E9F" w:rsidRPr="00AC1D26">
        <w:rPr>
          <w:lang w:eastAsia="ko-KR"/>
        </w:rPr>
        <w:t xml:space="preserve">The Committee is </w:t>
      </w:r>
      <w:r w:rsidR="00AC2BDD" w:rsidRPr="00AC1D26">
        <w:rPr>
          <w:lang w:eastAsia="ko-KR"/>
        </w:rPr>
        <w:t xml:space="preserve">also </w:t>
      </w:r>
      <w:r w:rsidR="00B03E9F" w:rsidRPr="00AC1D26">
        <w:rPr>
          <w:lang w:eastAsia="ko-KR"/>
        </w:rPr>
        <w:t xml:space="preserve">concerned </w:t>
      </w:r>
      <w:r w:rsidRPr="00AC1D26">
        <w:rPr>
          <w:lang w:eastAsia="ko-KR"/>
        </w:rPr>
        <w:t xml:space="preserve">that streets are not paved </w:t>
      </w:r>
      <w:r w:rsidR="00D714C2" w:rsidRPr="00AC1D26">
        <w:rPr>
          <w:lang w:eastAsia="ko-KR"/>
        </w:rPr>
        <w:t xml:space="preserve">to accommodate users of </w:t>
      </w:r>
      <w:r w:rsidRPr="00AC1D26">
        <w:rPr>
          <w:lang w:eastAsia="ko-KR"/>
        </w:rPr>
        <w:t xml:space="preserve">crutches </w:t>
      </w:r>
      <w:r w:rsidR="00D714C2" w:rsidRPr="00AC1D26">
        <w:rPr>
          <w:lang w:eastAsia="ko-KR"/>
        </w:rPr>
        <w:t xml:space="preserve">and </w:t>
      </w:r>
      <w:r w:rsidRPr="00AC1D26">
        <w:rPr>
          <w:lang w:eastAsia="ko-KR"/>
        </w:rPr>
        <w:t>wheelchairs</w:t>
      </w:r>
      <w:r w:rsidR="00B03E9F" w:rsidRPr="00AC1D26">
        <w:rPr>
          <w:lang w:eastAsia="ko-KR"/>
        </w:rPr>
        <w:t>. The Committee</w:t>
      </w:r>
      <w:r w:rsidRPr="00AC1D26">
        <w:rPr>
          <w:lang w:eastAsia="ko-KR"/>
        </w:rPr>
        <w:t xml:space="preserve"> </w:t>
      </w:r>
      <w:r w:rsidR="00AC2BDD" w:rsidRPr="00AC1D26">
        <w:rPr>
          <w:lang w:eastAsia="ko-KR"/>
        </w:rPr>
        <w:t xml:space="preserve">is further concerned that </w:t>
      </w:r>
      <w:r w:rsidRPr="00AC1D26">
        <w:rPr>
          <w:lang w:eastAsia="ko-KR"/>
        </w:rPr>
        <w:t>th</w:t>
      </w:r>
      <w:r w:rsidR="00634EA5" w:rsidRPr="00AC1D26">
        <w:rPr>
          <w:lang w:eastAsia="ko-KR"/>
        </w:rPr>
        <w:t xml:space="preserve">e </w:t>
      </w:r>
      <w:r w:rsidRPr="00AC1D26">
        <w:rPr>
          <w:lang w:eastAsia="ko-KR"/>
        </w:rPr>
        <w:t xml:space="preserve">situation </w:t>
      </w:r>
      <w:r w:rsidR="00AC2BDD" w:rsidRPr="00AC1D26">
        <w:rPr>
          <w:lang w:eastAsia="ko-KR"/>
        </w:rPr>
        <w:t xml:space="preserve">is </w:t>
      </w:r>
      <w:r w:rsidR="00634EA5" w:rsidRPr="00AC1D26">
        <w:rPr>
          <w:lang w:eastAsia="ko-KR"/>
        </w:rPr>
        <w:t xml:space="preserve">even </w:t>
      </w:r>
      <w:r w:rsidR="00E50814" w:rsidRPr="00AC1D26">
        <w:rPr>
          <w:lang w:eastAsia="ko-KR"/>
        </w:rPr>
        <w:t xml:space="preserve">worse </w:t>
      </w:r>
      <w:r w:rsidR="00634EA5" w:rsidRPr="00AC1D26">
        <w:rPr>
          <w:lang w:eastAsia="ko-KR"/>
        </w:rPr>
        <w:t xml:space="preserve">in cases </w:t>
      </w:r>
      <w:r w:rsidRPr="00AC1D26">
        <w:rPr>
          <w:lang w:eastAsia="ko-KR"/>
        </w:rPr>
        <w:t>where</w:t>
      </w:r>
      <w:r w:rsidRPr="00AC1D26">
        <w:t xml:space="preserve"> houses</w:t>
      </w:r>
      <w:r w:rsidRPr="00AC1D26">
        <w:rPr>
          <w:lang w:eastAsia="ko-KR"/>
        </w:rPr>
        <w:t>,</w:t>
      </w:r>
      <w:r w:rsidRPr="00AC1D26">
        <w:t xml:space="preserve"> schools and health </w:t>
      </w:r>
      <w:r w:rsidR="00E50814" w:rsidRPr="00AC1D26">
        <w:t xml:space="preserve">facilities </w:t>
      </w:r>
      <w:r w:rsidRPr="00AC1D26">
        <w:t>are located in mountainous and hilly regions</w:t>
      </w:r>
      <w:r w:rsidRPr="00AC1D26">
        <w:rPr>
          <w:lang w:eastAsia="ko-KR"/>
        </w:rPr>
        <w:t xml:space="preserve"> </w:t>
      </w:r>
      <w:r w:rsidRPr="00AC1D26">
        <w:t xml:space="preserve">where wheelchairs </w:t>
      </w:r>
      <w:r w:rsidR="00634EA5" w:rsidRPr="00AC1D26">
        <w:t xml:space="preserve">and other devices </w:t>
      </w:r>
      <w:r w:rsidRPr="00AC1D26">
        <w:t xml:space="preserve">cannot be used. </w:t>
      </w:r>
    </w:p>
    <w:p w14:paraId="5C10FEA7" w14:textId="0611AD6E" w:rsidR="00F77C10" w:rsidRPr="00AC1D26" w:rsidRDefault="00F77C10" w:rsidP="00C86824">
      <w:pPr>
        <w:pStyle w:val="SingleTxtG"/>
        <w:numPr>
          <w:ilvl w:val="0"/>
          <w:numId w:val="10"/>
        </w:numPr>
        <w:ind w:left="1134" w:firstLine="0"/>
        <w:rPr>
          <w:b/>
          <w:lang w:eastAsia="ko-KR"/>
        </w:rPr>
      </w:pPr>
      <w:r w:rsidRPr="00AC1D26">
        <w:rPr>
          <w:b/>
          <w:lang w:eastAsia="ko-KR"/>
        </w:rPr>
        <w:t xml:space="preserve">The Committee urges the State party to adopt </w:t>
      </w:r>
      <w:r w:rsidR="002839E7" w:rsidRPr="00AC1D26">
        <w:rPr>
          <w:b/>
          <w:lang w:eastAsia="ko-KR"/>
        </w:rPr>
        <w:t xml:space="preserve">appropriate </w:t>
      </w:r>
      <w:r w:rsidRPr="00AC1D26">
        <w:rPr>
          <w:b/>
          <w:lang w:eastAsia="ko-KR"/>
        </w:rPr>
        <w:t xml:space="preserve">measures </w:t>
      </w:r>
      <w:r w:rsidR="00E50814" w:rsidRPr="00AC1D26">
        <w:rPr>
          <w:b/>
          <w:lang w:eastAsia="ko-KR"/>
        </w:rPr>
        <w:t xml:space="preserve">to ensure </w:t>
      </w:r>
      <w:r w:rsidRPr="00AC1D26">
        <w:rPr>
          <w:b/>
          <w:lang w:eastAsia="ko-KR"/>
        </w:rPr>
        <w:t>mobilit</w:t>
      </w:r>
      <w:r w:rsidR="00E50814" w:rsidRPr="00AC1D26">
        <w:rPr>
          <w:b/>
          <w:lang w:eastAsia="ko-KR"/>
        </w:rPr>
        <w:t>y</w:t>
      </w:r>
      <w:r w:rsidRPr="00AC1D26">
        <w:rPr>
          <w:b/>
          <w:lang w:eastAsia="ko-KR"/>
        </w:rPr>
        <w:t xml:space="preserve"> of </w:t>
      </w:r>
      <w:r w:rsidR="002839E7" w:rsidRPr="00AC1D26">
        <w:rPr>
          <w:b/>
          <w:lang w:eastAsia="ko-KR"/>
        </w:rPr>
        <w:t xml:space="preserve">all </w:t>
      </w:r>
      <w:r w:rsidRPr="00AC1D26">
        <w:rPr>
          <w:b/>
          <w:lang w:eastAsia="ko-KR"/>
        </w:rPr>
        <w:t xml:space="preserve">persons with disabilities </w:t>
      </w:r>
      <w:r w:rsidR="00E50814" w:rsidRPr="00AC1D26">
        <w:rPr>
          <w:b/>
          <w:lang w:eastAsia="ko-KR"/>
        </w:rPr>
        <w:t>in order to facilitate</w:t>
      </w:r>
      <w:r w:rsidRPr="00AC1D26">
        <w:rPr>
          <w:b/>
          <w:lang w:eastAsia="ko-KR"/>
        </w:rPr>
        <w:t xml:space="preserve"> their participation, inclusion in community in general and in particular, to engage in education and livelihood ac</w:t>
      </w:r>
      <w:r w:rsidR="00453411" w:rsidRPr="00AC1D26">
        <w:rPr>
          <w:b/>
          <w:lang w:eastAsia="ko-KR"/>
        </w:rPr>
        <w:t>t</w:t>
      </w:r>
      <w:r w:rsidRPr="00AC1D26">
        <w:rPr>
          <w:b/>
          <w:lang w:eastAsia="ko-KR"/>
        </w:rPr>
        <w:t>ivities</w:t>
      </w:r>
      <w:r w:rsidR="001C4123" w:rsidRPr="00AC1D26">
        <w:rPr>
          <w:b/>
          <w:lang w:eastAsia="ko-KR"/>
        </w:rPr>
        <w:t xml:space="preserve">, including access to </w:t>
      </w:r>
      <w:r w:rsidR="001C4123" w:rsidRPr="00AC1D26">
        <w:rPr>
          <w:b/>
          <w:bCs/>
          <w:lang w:eastAsia="ko-KR"/>
        </w:rPr>
        <w:t>quality and affordable</w:t>
      </w:r>
      <w:r w:rsidR="003157C6" w:rsidRPr="00AC1D26">
        <w:rPr>
          <w:b/>
          <w:bCs/>
          <w:lang w:eastAsia="ko-KR"/>
        </w:rPr>
        <w:t xml:space="preserve"> </w:t>
      </w:r>
      <w:r w:rsidR="001C4123" w:rsidRPr="00AC1D26">
        <w:rPr>
          <w:b/>
          <w:bCs/>
          <w:lang w:eastAsia="ko-KR"/>
        </w:rPr>
        <w:t>mobility</w:t>
      </w:r>
      <w:r w:rsidR="003157C6" w:rsidRPr="00AC1D26">
        <w:rPr>
          <w:b/>
          <w:bCs/>
          <w:lang w:eastAsia="ko-KR"/>
        </w:rPr>
        <w:t xml:space="preserve"> </w:t>
      </w:r>
      <w:r w:rsidR="001C4123" w:rsidRPr="00AC1D26">
        <w:rPr>
          <w:b/>
          <w:bCs/>
          <w:lang w:eastAsia="ko-KR"/>
        </w:rPr>
        <w:t>aids and assistive devices, technologies and services necessary for their unrestricted personal mobility.</w:t>
      </w:r>
    </w:p>
    <w:p w14:paraId="05243898" w14:textId="550AFFAD" w:rsidR="00CC52F1" w:rsidRPr="001A4B77" w:rsidRDefault="0017334C" w:rsidP="00FA17F8">
      <w:pPr>
        <w:pStyle w:val="H23G"/>
        <w:rPr>
          <w:lang w:eastAsia="ko-KR"/>
        </w:rPr>
      </w:pPr>
      <w:r w:rsidRPr="001A4B77">
        <w:rPr>
          <w:lang w:eastAsia="ko-KR"/>
        </w:rPr>
        <w:tab/>
      </w:r>
      <w:r w:rsidRPr="001A4B77">
        <w:rPr>
          <w:lang w:eastAsia="ko-KR"/>
        </w:rPr>
        <w:tab/>
      </w:r>
      <w:r w:rsidR="00CC52F1" w:rsidRPr="001A4B77">
        <w:rPr>
          <w:lang w:eastAsia="ko-KR"/>
        </w:rPr>
        <w:t>Freedom of expression and opinion, and access to information (</w:t>
      </w:r>
      <w:r w:rsidR="003A2038" w:rsidRPr="001A4B77">
        <w:rPr>
          <w:lang w:eastAsia="ko-KR"/>
        </w:rPr>
        <w:t>a</w:t>
      </w:r>
      <w:r w:rsidR="00CC52F1" w:rsidRPr="001A4B77">
        <w:rPr>
          <w:lang w:eastAsia="ko-KR"/>
        </w:rPr>
        <w:t>rt. 21)</w:t>
      </w:r>
    </w:p>
    <w:p w14:paraId="79520A28" w14:textId="53A13AB7" w:rsidR="005227DC" w:rsidRPr="00AC1D26" w:rsidRDefault="005227DC" w:rsidP="005227DC">
      <w:pPr>
        <w:pStyle w:val="SingleTxtG"/>
        <w:numPr>
          <w:ilvl w:val="0"/>
          <w:numId w:val="10"/>
        </w:numPr>
        <w:ind w:left="1134" w:firstLine="0"/>
        <w:rPr>
          <w:lang w:eastAsia="ko-KR"/>
        </w:rPr>
      </w:pPr>
      <w:r w:rsidRPr="00AC1D26">
        <w:rPr>
          <w:lang w:eastAsia="ko-KR"/>
        </w:rPr>
        <w:t xml:space="preserve">The Committee is concerned </w:t>
      </w:r>
      <w:r w:rsidR="00185BD1" w:rsidRPr="00AC1D26">
        <w:rPr>
          <w:lang w:eastAsia="ko-KR"/>
        </w:rPr>
        <w:t>at the absence of a</w:t>
      </w:r>
      <w:r w:rsidRPr="00AC1D26">
        <w:rPr>
          <w:lang w:eastAsia="ko-KR"/>
        </w:rPr>
        <w:t xml:space="preserve"> Centre for Sign Language Research and Trainin</w:t>
      </w:r>
      <w:r w:rsidR="00185BD1" w:rsidRPr="00AC1D26">
        <w:rPr>
          <w:lang w:eastAsia="ko-KR"/>
        </w:rPr>
        <w:t xml:space="preserve">g of Sign Language Interpreters, and at </w:t>
      </w:r>
      <w:r w:rsidRPr="00AC1D26">
        <w:rPr>
          <w:lang w:eastAsia="ko-KR"/>
        </w:rPr>
        <w:t xml:space="preserve">the absence of </w:t>
      </w:r>
      <w:r w:rsidR="00185BD1" w:rsidRPr="00AC1D26">
        <w:rPr>
          <w:lang w:eastAsia="ko-KR"/>
        </w:rPr>
        <w:t>a</w:t>
      </w:r>
      <w:r w:rsidRPr="00AC1D26">
        <w:rPr>
          <w:lang w:eastAsia="ko-KR"/>
        </w:rPr>
        <w:t xml:space="preserve"> state system for certification and approval of sign language interpreters’ qualification.</w:t>
      </w:r>
    </w:p>
    <w:p w14:paraId="1BBB75E1" w14:textId="4D35604F" w:rsidR="005227DC" w:rsidRPr="00AC1D26" w:rsidRDefault="005227DC" w:rsidP="005227DC">
      <w:pPr>
        <w:pStyle w:val="SingleTxtG"/>
        <w:numPr>
          <w:ilvl w:val="0"/>
          <w:numId w:val="10"/>
        </w:numPr>
        <w:ind w:left="1134" w:firstLine="0"/>
        <w:rPr>
          <w:b/>
          <w:lang w:eastAsia="ko-KR"/>
        </w:rPr>
      </w:pPr>
      <w:r w:rsidRPr="00AC1D26">
        <w:rPr>
          <w:b/>
          <w:lang w:eastAsia="ko-KR"/>
        </w:rPr>
        <w:t xml:space="preserve">The Committee recommends </w:t>
      </w:r>
      <w:r w:rsidR="00185BD1" w:rsidRPr="00AC1D26">
        <w:rPr>
          <w:b/>
          <w:lang w:eastAsia="ko-KR"/>
        </w:rPr>
        <w:t>that</w:t>
      </w:r>
      <w:r w:rsidRPr="00AC1D26">
        <w:rPr>
          <w:b/>
          <w:lang w:eastAsia="ko-KR"/>
        </w:rPr>
        <w:t xml:space="preserve"> the State </w:t>
      </w:r>
      <w:r w:rsidR="008610A8" w:rsidRPr="00AC1D26">
        <w:rPr>
          <w:b/>
          <w:lang w:eastAsia="ko-KR"/>
        </w:rPr>
        <w:t>p</w:t>
      </w:r>
      <w:r w:rsidRPr="00AC1D26">
        <w:rPr>
          <w:b/>
          <w:lang w:eastAsia="ko-KR"/>
        </w:rPr>
        <w:t xml:space="preserve">arty </w:t>
      </w:r>
      <w:r w:rsidR="00185BD1" w:rsidRPr="00AC1D26">
        <w:rPr>
          <w:b/>
          <w:lang w:eastAsia="ko-KR"/>
        </w:rPr>
        <w:t>take appropriate measure</w:t>
      </w:r>
      <w:r w:rsidR="0045190F" w:rsidRPr="00AC1D26">
        <w:rPr>
          <w:b/>
          <w:lang w:eastAsia="ko-KR"/>
        </w:rPr>
        <w:t>s</w:t>
      </w:r>
      <w:r w:rsidR="00185BD1" w:rsidRPr="00AC1D26">
        <w:rPr>
          <w:b/>
          <w:lang w:eastAsia="ko-KR"/>
        </w:rPr>
        <w:t xml:space="preserve"> to </w:t>
      </w:r>
      <w:r w:rsidRPr="00AC1D26">
        <w:rPr>
          <w:b/>
          <w:lang w:eastAsia="ko-KR"/>
        </w:rPr>
        <w:t xml:space="preserve">establish </w:t>
      </w:r>
      <w:r w:rsidR="00185BD1" w:rsidRPr="00AC1D26">
        <w:rPr>
          <w:b/>
          <w:lang w:eastAsia="ko-KR"/>
        </w:rPr>
        <w:t>a</w:t>
      </w:r>
      <w:r w:rsidRPr="00AC1D26">
        <w:rPr>
          <w:b/>
          <w:lang w:eastAsia="ko-KR"/>
        </w:rPr>
        <w:t xml:space="preserve"> </w:t>
      </w:r>
      <w:r w:rsidR="0045190F" w:rsidRPr="00AC1D26">
        <w:rPr>
          <w:b/>
          <w:lang w:eastAsia="ko-KR"/>
        </w:rPr>
        <w:t>Centre for Sign Language Research and Training of Sign Language Interpreters</w:t>
      </w:r>
      <w:r w:rsidR="009E3768" w:rsidRPr="00AC1D26">
        <w:rPr>
          <w:b/>
          <w:lang w:eastAsia="ko-KR"/>
        </w:rPr>
        <w:t>,</w:t>
      </w:r>
      <w:r w:rsidR="0045190F" w:rsidRPr="00AC1D26">
        <w:rPr>
          <w:b/>
          <w:lang w:eastAsia="ko-KR"/>
        </w:rPr>
        <w:t xml:space="preserve"> </w:t>
      </w:r>
      <w:r w:rsidRPr="00AC1D26">
        <w:rPr>
          <w:b/>
          <w:lang w:eastAsia="ko-KR"/>
        </w:rPr>
        <w:t xml:space="preserve">and ensure their certification involving </w:t>
      </w:r>
      <w:r w:rsidR="009C5AC7" w:rsidRPr="00AC1D26">
        <w:rPr>
          <w:b/>
          <w:lang w:eastAsia="ko-KR"/>
        </w:rPr>
        <w:t>representative organisations for the d</w:t>
      </w:r>
      <w:r w:rsidRPr="00AC1D26">
        <w:rPr>
          <w:b/>
          <w:lang w:eastAsia="ko-KR"/>
        </w:rPr>
        <w:t>eaf.</w:t>
      </w:r>
    </w:p>
    <w:p w14:paraId="13063CFD" w14:textId="2E133FC7" w:rsidR="00F77C10" w:rsidRPr="00AC1D26" w:rsidRDefault="00ED5EB8" w:rsidP="00ED5EB8">
      <w:pPr>
        <w:pStyle w:val="H23G"/>
        <w:rPr>
          <w:lang w:eastAsia="ko-KR"/>
        </w:rPr>
      </w:pPr>
      <w:r w:rsidRPr="00AC1D26">
        <w:rPr>
          <w:lang w:eastAsia="ko-KR"/>
        </w:rPr>
        <w:tab/>
      </w:r>
      <w:r w:rsidRPr="00AC1D26">
        <w:rPr>
          <w:lang w:eastAsia="ko-KR"/>
        </w:rPr>
        <w:tab/>
      </w:r>
      <w:r w:rsidR="00F77C10" w:rsidRPr="00AC1D26">
        <w:rPr>
          <w:lang w:eastAsia="ko-KR"/>
        </w:rPr>
        <w:t>Education (art. 24)</w:t>
      </w:r>
    </w:p>
    <w:p w14:paraId="3EA2B9E1" w14:textId="2B4526EB" w:rsidR="001C4123" w:rsidRPr="00AC1D26" w:rsidRDefault="00F77C10" w:rsidP="00C86824">
      <w:pPr>
        <w:pStyle w:val="SingleTxtG"/>
        <w:numPr>
          <w:ilvl w:val="0"/>
          <w:numId w:val="10"/>
        </w:numPr>
        <w:ind w:left="1134" w:firstLine="0"/>
      </w:pPr>
      <w:r w:rsidRPr="00AC1D26">
        <w:t xml:space="preserve">The </w:t>
      </w:r>
      <w:r w:rsidRPr="00AC1D26">
        <w:rPr>
          <w:lang w:eastAsia="ko-KR"/>
        </w:rPr>
        <w:t xml:space="preserve">Committee is concerned </w:t>
      </w:r>
      <w:r w:rsidR="00CC52F1" w:rsidRPr="00AC1D26">
        <w:rPr>
          <w:lang w:eastAsia="ko-KR"/>
        </w:rPr>
        <w:t>that the State party</w:t>
      </w:r>
      <w:r w:rsidR="001C4123" w:rsidRPr="00AC1D26">
        <w:rPr>
          <w:lang w:eastAsia="ko-KR"/>
        </w:rPr>
        <w:t xml:space="preserve"> maintains special and </w:t>
      </w:r>
      <w:r w:rsidR="00CC52F1" w:rsidRPr="00AC1D26">
        <w:rPr>
          <w:lang w:eastAsia="ko-KR"/>
        </w:rPr>
        <w:t xml:space="preserve">segregated </w:t>
      </w:r>
      <w:r w:rsidR="001C4123" w:rsidRPr="00AC1D26">
        <w:rPr>
          <w:lang w:eastAsia="ko-KR"/>
        </w:rPr>
        <w:t xml:space="preserve">schools. </w:t>
      </w:r>
      <w:r w:rsidR="009E6225" w:rsidRPr="00AC1D26">
        <w:t xml:space="preserve">The </w:t>
      </w:r>
      <w:r w:rsidR="001C4123" w:rsidRPr="00AC1D26">
        <w:t>Committee is particularly concerned at:</w:t>
      </w:r>
    </w:p>
    <w:p w14:paraId="297509E6" w14:textId="64A2D7DD" w:rsidR="001C4123" w:rsidRPr="00AC1D26" w:rsidRDefault="001C4123" w:rsidP="001C4123">
      <w:pPr>
        <w:pStyle w:val="SingleTxtG"/>
        <w:ind w:firstLine="567"/>
      </w:pPr>
      <w:r w:rsidRPr="00AC1D26">
        <w:t>(a)</w:t>
      </w:r>
      <w:r w:rsidRPr="00AC1D26">
        <w:tab/>
      </w:r>
      <w:r w:rsidR="003157C6" w:rsidRPr="00AC1D26">
        <w:t>The</w:t>
      </w:r>
      <w:r w:rsidRPr="00AC1D26">
        <w:t xml:space="preserve"> </w:t>
      </w:r>
      <w:r w:rsidR="009E6225" w:rsidRPr="00AC1D26">
        <w:t xml:space="preserve">lack of sufficient support and training for administrative and teaching staff with regard to inclusive education; </w:t>
      </w:r>
    </w:p>
    <w:p w14:paraId="5BAE209B" w14:textId="57A0CB11" w:rsidR="009E6225" w:rsidRPr="00AC1D26" w:rsidRDefault="00E440A4" w:rsidP="001C4123">
      <w:pPr>
        <w:pStyle w:val="SingleTxtG"/>
        <w:ind w:firstLine="567"/>
      </w:pPr>
      <w:r w:rsidRPr="00AC1D26">
        <w:t>(b)</w:t>
      </w:r>
      <w:r w:rsidR="001C4123" w:rsidRPr="00AC1D26">
        <w:tab/>
      </w:r>
      <w:r w:rsidR="003157C6" w:rsidRPr="00AC1D26">
        <w:t>The</w:t>
      </w:r>
      <w:r w:rsidR="009E6225" w:rsidRPr="00AC1D26">
        <w:t xml:space="preserve"> lack of accessibility and reasonable accommodation for students with disa</w:t>
      </w:r>
      <w:r w:rsidR="003157C6" w:rsidRPr="00AC1D26">
        <w:t>bilities in mainstream schools;</w:t>
      </w:r>
    </w:p>
    <w:p w14:paraId="13F18C6A" w14:textId="77316427" w:rsidR="001C4123" w:rsidRPr="00AC1D26" w:rsidRDefault="001C4123" w:rsidP="001C4123">
      <w:pPr>
        <w:pStyle w:val="SingleTxtG"/>
        <w:ind w:firstLine="567"/>
      </w:pPr>
      <w:r w:rsidRPr="00AC1D26">
        <w:t>(c)</w:t>
      </w:r>
      <w:r w:rsidRPr="00AC1D26">
        <w:tab/>
      </w:r>
      <w:r w:rsidR="003157C6" w:rsidRPr="00AC1D26">
        <w:t>The</w:t>
      </w:r>
      <w:r w:rsidR="009E6225" w:rsidRPr="00AC1D26">
        <w:t xml:space="preserve"> absence of a comprehensive strategy to promote inclusive education in urban and rural areas.</w:t>
      </w:r>
    </w:p>
    <w:p w14:paraId="50430595" w14:textId="37B4E135" w:rsidR="001C4123" w:rsidRPr="00AC1D26" w:rsidRDefault="009E6225" w:rsidP="00C86824">
      <w:pPr>
        <w:pStyle w:val="SingleTxtG"/>
        <w:numPr>
          <w:ilvl w:val="0"/>
          <w:numId w:val="10"/>
        </w:numPr>
        <w:ind w:left="1134" w:firstLine="0"/>
        <w:rPr>
          <w:b/>
          <w:lang w:val="en-US"/>
        </w:rPr>
      </w:pPr>
      <w:r w:rsidRPr="00AC1D26">
        <w:rPr>
          <w:b/>
          <w:lang w:val="en-US"/>
        </w:rPr>
        <w:t xml:space="preserve">The Committee recommends that the State party in line with the Committee’s general comment No. 4 (2016) on the right to inclusive education and Sustainable Development Goal 4, in particular targets 4.5 and 4 (a), increase its efforts towards inclusive education by: </w:t>
      </w:r>
    </w:p>
    <w:p w14:paraId="0058E88D" w14:textId="571CD7F5" w:rsidR="001C4123" w:rsidRPr="00AC1D26" w:rsidRDefault="001C4123" w:rsidP="001C4123">
      <w:pPr>
        <w:pStyle w:val="SingleTxtG"/>
        <w:ind w:firstLine="567"/>
        <w:rPr>
          <w:b/>
        </w:rPr>
      </w:pPr>
      <w:r w:rsidRPr="00FA17F8">
        <w:rPr>
          <w:lang w:val="en-US"/>
        </w:rPr>
        <w:t>(a)</w:t>
      </w:r>
      <w:r w:rsidRPr="00FA17F8">
        <w:rPr>
          <w:lang w:val="en-US"/>
        </w:rPr>
        <w:tab/>
      </w:r>
      <w:r w:rsidR="009E6225" w:rsidRPr="00AC1D26">
        <w:rPr>
          <w:b/>
        </w:rPr>
        <w:t>Adopting a policy of mandatory training of teachers in the inclusive education model</w:t>
      </w:r>
      <w:r w:rsidR="00CC52F1" w:rsidRPr="00AC1D26">
        <w:rPr>
          <w:b/>
        </w:rPr>
        <w:t xml:space="preserve"> based on indicators and sign posts to be achieved</w:t>
      </w:r>
      <w:r w:rsidR="009E6225" w:rsidRPr="00AC1D26">
        <w:rPr>
          <w:b/>
        </w:rPr>
        <w:t>, and to guarantee inclusive education by providing support</w:t>
      </w:r>
      <w:r w:rsidRPr="00AC1D26">
        <w:rPr>
          <w:b/>
        </w:rPr>
        <w:t xml:space="preserve"> for trained teachers, Braille and </w:t>
      </w:r>
      <w:r w:rsidR="009E6225" w:rsidRPr="00AC1D26">
        <w:rPr>
          <w:b/>
        </w:rPr>
        <w:t>sign language</w:t>
      </w:r>
      <w:r w:rsidRPr="00AC1D26">
        <w:rPr>
          <w:b/>
        </w:rPr>
        <w:t xml:space="preserve"> as well as </w:t>
      </w:r>
      <w:r w:rsidR="009E6225" w:rsidRPr="00AC1D26">
        <w:rPr>
          <w:b/>
        </w:rPr>
        <w:t>alternative means and modes of communication, Easy Read and othe</w:t>
      </w:r>
      <w:r w:rsidRPr="00AC1D26">
        <w:rPr>
          <w:b/>
        </w:rPr>
        <w:t>r</w:t>
      </w:r>
      <w:r w:rsidR="00CD1BB1" w:rsidRPr="00AC1D26">
        <w:rPr>
          <w:b/>
        </w:rPr>
        <w:t xml:space="preserve"> auxiliary equipment and media;</w:t>
      </w:r>
    </w:p>
    <w:p w14:paraId="6CAD1D54" w14:textId="3675BD3C" w:rsidR="009E6225" w:rsidRPr="00AC1D26" w:rsidRDefault="001C4123" w:rsidP="001C4123">
      <w:pPr>
        <w:pStyle w:val="SingleTxtG"/>
        <w:ind w:firstLine="567"/>
        <w:rPr>
          <w:b/>
        </w:rPr>
      </w:pPr>
      <w:r w:rsidRPr="00FA17F8">
        <w:t>(b)</w:t>
      </w:r>
      <w:r w:rsidRPr="00FA17F8">
        <w:tab/>
      </w:r>
      <w:r w:rsidRPr="00AC1D26">
        <w:rPr>
          <w:b/>
        </w:rPr>
        <w:t>E</w:t>
      </w:r>
      <w:r w:rsidR="009E6225" w:rsidRPr="00AC1D26">
        <w:rPr>
          <w:b/>
        </w:rPr>
        <w:t>nsuring access to inclusive education for all persons with disabilities, at all levels of education including adult education throughout the country, and guarantee that this education model covers the most remote areas, incorporates a gender perspective and is ethnically and culturally relevant.</w:t>
      </w:r>
    </w:p>
    <w:p w14:paraId="35F5890C" w14:textId="77BE61DC" w:rsidR="00F77C10" w:rsidRPr="00AC1D26" w:rsidRDefault="00ED5EB8" w:rsidP="00ED5EB8">
      <w:pPr>
        <w:pStyle w:val="H23G"/>
        <w:rPr>
          <w:lang w:eastAsia="ko-KR"/>
        </w:rPr>
      </w:pPr>
      <w:r w:rsidRPr="00AC1D26">
        <w:rPr>
          <w:lang w:eastAsia="ko-KR"/>
        </w:rPr>
        <w:tab/>
      </w:r>
      <w:r w:rsidRPr="00AC1D26">
        <w:rPr>
          <w:lang w:eastAsia="ko-KR"/>
        </w:rPr>
        <w:tab/>
      </w:r>
      <w:r w:rsidR="00F77C10" w:rsidRPr="00AC1D26">
        <w:rPr>
          <w:lang w:eastAsia="ko-KR"/>
        </w:rPr>
        <w:t xml:space="preserve">Health, </w:t>
      </w:r>
      <w:proofErr w:type="spellStart"/>
      <w:r w:rsidR="00F77C10" w:rsidRPr="00AC1D26">
        <w:rPr>
          <w:lang w:eastAsia="ko-KR"/>
        </w:rPr>
        <w:t>Habilitation</w:t>
      </w:r>
      <w:proofErr w:type="spellEnd"/>
      <w:r w:rsidR="00F77C10" w:rsidRPr="00AC1D26">
        <w:rPr>
          <w:lang w:eastAsia="ko-KR"/>
        </w:rPr>
        <w:t xml:space="preserve"> and Rehabilitation (arts. 25 and 26)</w:t>
      </w:r>
    </w:p>
    <w:p w14:paraId="27974F67" w14:textId="23FA2B98" w:rsidR="00F77C10" w:rsidRPr="00AC1D26" w:rsidRDefault="00F77C10" w:rsidP="00C86824">
      <w:pPr>
        <w:pStyle w:val="SingleTxtG"/>
        <w:numPr>
          <w:ilvl w:val="0"/>
          <w:numId w:val="10"/>
        </w:numPr>
        <w:ind w:left="1134" w:firstLine="0"/>
        <w:rPr>
          <w:lang w:eastAsia="ko-KR"/>
        </w:rPr>
      </w:pPr>
      <w:r w:rsidRPr="00AC1D26">
        <w:rPr>
          <w:szCs w:val="22"/>
          <w:lang w:eastAsia="ko-KR"/>
        </w:rPr>
        <w:t xml:space="preserve">The Committee is concerned about </w:t>
      </w:r>
      <w:r w:rsidR="00963A3E" w:rsidRPr="00AC1D26">
        <w:rPr>
          <w:szCs w:val="22"/>
          <w:lang w:eastAsia="ko-KR"/>
        </w:rPr>
        <w:t xml:space="preserve">the </w:t>
      </w:r>
      <w:r w:rsidRPr="00AC1D26">
        <w:rPr>
          <w:lang w:eastAsia="ko-KR"/>
        </w:rPr>
        <w:t>limited access to comprehensive health and rehabilitation services</w:t>
      </w:r>
      <w:r w:rsidR="00963A3E" w:rsidRPr="00AC1D26">
        <w:rPr>
          <w:lang w:eastAsia="ko-KR"/>
        </w:rPr>
        <w:t xml:space="preserve"> by persons with disabilities</w:t>
      </w:r>
      <w:r w:rsidRPr="00AC1D26">
        <w:rPr>
          <w:lang w:eastAsia="ko-KR"/>
        </w:rPr>
        <w:t>, particularly in rural and remote areas.</w:t>
      </w:r>
      <w:r w:rsidR="003157C6" w:rsidRPr="00AC1D26">
        <w:rPr>
          <w:lang w:eastAsia="ko-KR"/>
        </w:rPr>
        <w:t xml:space="preserve"> </w:t>
      </w:r>
    </w:p>
    <w:p w14:paraId="72CDE52D" w14:textId="55A9C9CB" w:rsidR="00F77C10" w:rsidRPr="00AC1D26" w:rsidRDefault="00F77C10" w:rsidP="00C86824">
      <w:pPr>
        <w:pStyle w:val="SingleTxtG"/>
        <w:numPr>
          <w:ilvl w:val="0"/>
          <w:numId w:val="10"/>
        </w:numPr>
        <w:ind w:left="1134" w:firstLine="0"/>
        <w:rPr>
          <w:b/>
          <w:lang w:eastAsia="ko-KR"/>
        </w:rPr>
      </w:pPr>
      <w:r w:rsidRPr="00AC1D26">
        <w:rPr>
          <w:b/>
          <w:lang w:eastAsia="ko-KR"/>
        </w:rPr>
        <w:t>The Committee recommends that the State party develop measures to ensure</w:t>
      </w:r>
      <w:r w:rsidRPr="00AC1D26">
        <w:rPr>
          <w:b/>
        </w:rPr>
        <w:t xml:space="preserve"> </w:t>
      </w:r>
      <w:r w:rsidR="00963A3E" w:rsidRPr="00AC1D26">
        <w:rPr>
          <w:b/>
        </w:rPr>
        <w:t xml:space="preserve">comprehensive </w:t>
      </w:r>
      <w:r w:rsidRPr="00AC1D26">
        <w:rPr>
          <w:b/>
          <w:lang w:eastAsia="ko-KR"/>
        </w:rPr>
        <w:t>access to</w:t>
      </w:r>
      <w:r w:rsidRPr="00AC1D26">
        <w:rPr>
          <w:b/>
        </w:rPr>
        <w:t xml:space="preserve"> health services for persons with disabilities, particularly sexual and reproductive health services, maternal and child health </w:t>
      </w:r>
      <w:r w:rsidRPr="00AC1D26">
        <w:rPr>
          <w:b/>
          <w:lang w:eastAsia="ko-KR"/>
        </w:rPr>
        <w:t>c</w:t>
      </w:r>
      <w:r w:rsidRPr="00AC1D26">
        <w:rPr>
          <w:b/>
        </w:rPr>
        <w:t>entres</w:t>
      </w:r>
      <w:r w:rsidRPr="00AC1D26">
        <w:rPr>
          <w:b/>
          <w:lang w:eastAsia="ko-KR"/>
        </w:rPr>
        <w:t>, psychosocial services</w:t>
      </w:r>
      <w:r w:rsidR="00BA7563" w:rsidRPr="00AC1D26">
        <w:rPr>
          <w:b/>
          <w:lang w:eastAsia="ko-KR"/>
        </w:rPr>
        <w:t>,</w:t>
      </w:r>
      <w:r w:rsidRPr="00AC1D26">
        <w:rPr>
          <w:b/>
          <w:lang w:eastAsia="ko-KR"/>
        </w:rPr>
        <w:t xml:space="preserve"> and </w:t>
      </w:r>
      <w:r w:rsidR="00BA7563" w:rsidRPr="00AC1D26">
        <w:rPr>
          <w:b/>
          <w:lang w:eastAsia="ko-KR"/>
        </w:rPr>
        <w:t xml:space="preserve">intensify the provision of </w:t>
      </w:r>
      <w:r w:rsidRPr="00AC1D26">
        <w:rPr>
          <w:b/>
          <w:lang w:eastAsia="ko-KR"/>
        </w:rPr>
        <w:t xml:space="preserve">comprehensive community-based rehabilitation services </w:t>
      </w:r>
      <w:r w:rsidR="00A2600F">
        <w:rPr>
          <w:b/>
          <w:lang w:eastAsia="ko-KR"/>
        </w:rPr>
        <w:t>including in</w:t>
      </w:r>
      <w:r w:rsidR="00D93D82" w:rsidRPr="00AC1D26">
        <w:rPr>
          <w:b/>
          <w:lang w:eastAsia="ko-KR"/>
        </w:rPr>
        <w:t xml:space="preserve"> </w:t>
      </w:r>
      <w:r w:rsidRPr="00AC1D26">
        <w:rPr>
          <w:b/>
        </w:rPr>
        <w:t>rural and remote areas.</w:t>
      </w:r>
      <w:r w:rsidRPr="00AC1D26">
        <w:rPr>
          <w:b/>
          <w:lang w:eastAsia="ko-KR"/>
        </w:rPr>
        <w:t xml:space="preserve"> </w:t>
      </w:r>
    </w:p>
    <w:p w14:paraId="5FDDE97B" w14:textId="621E1830" w:rsidR="00F77C10" w:rsidRPr="00AC1D26" w:rsidRDefault="00ED5EB8" w:rsidP="00ED5EB8">
      <w:pPr>
        <w:pStyle w:val="H23G"/>
        <w:rPr>
          <w:lang w:eastAsia="ko-KR"/>
        </w:rPr>
      </w:pPr>
      <w:r w:rsidRPr="00AC1D26">
        <w:rPr>
          <w:lang w:eastAsia="ko-KR"/>
        </w:rPr>
        <w:tab/>
      </w:r>
      <w:r w:rsidRPr="00AC1D26">
        <w:rPr>
          <w:lang w:eastAsia="ko-KR"/>
        </w:rPr>
        <w:tab/>
      </w:r>
      <w:r w:rsidR="00F77C10" w:rsidRPr="00AC1D26">
        <w:rPr>
          <w:lang w:eastAsia="ko-KR"/>
        </w:rPr>
        <w:t>Work and employment (art. 27)</w:t>
      </w:r>
    </w:p>
    <w:p w14:paraId="5F52F085" w14:textId="2254A134" w:rsidR="00F77C10" w:rsidRPr="00AC1D26" w:rsidRDefault="00F77C10" w:rsidP="00C86824">
      <w:pPr>
        <w:pStyle w:val="SingleTxtG"/>
        <w:numPr>
          <w:ilvl w:val="0"/>
          <w:numId w:val="10"/>
        </w:numPr>
        <w:ind w:left="1134" w:firstLine="0"/>
        <w:rPr>
          <w:lang w:eastAsia="ko-KR"/>
        </w:rPr>
      </w:pPr>
      <w:r w:rsidRPr="00AC1D26">
        <w:t>The Committee</w:t>
      </w:r>
      <w:r w:rsidR="00963A3E" w:rsidRPr="00AC1D26">
        <w:t xml:space="preserve"> is concerned </w:t>
      </w:r>
      <w:r w:rsidR="00BB41D4" w:rsidRPr="00AC1D26">
        <w:t xml:space="preserve">at the lack of information </w:t>
      </w:r>
      <w:r w:rsidR="00BA7563" w:rsidRPr="00AC1D26">
        <w:t xml:space="preserve">on </w:t>
      </w:r>
      <w:r w:rsidR="003B0F86" w:rsidRPr="00AC1D26">
        <w:t xml:space="preserve">the effectiveness of the </w:t>
      </w:r>
      <w:r w:rsidR="008A5202" w:rsidRPr="00AC1D26">
        <w:t xml:space="preserve">employment </w:t>
      </w:r>
      <w:r w:rsidR="003B0F86" w:rsidRPr="00AC1D26">
        <w:t xml:space="preserve">quota for persons with disabilities in the civil service and </w:t>
      </w:r>
      <w:r w:rsidR="00BB41D4" w:rsidRPr="00AC1D26">
        <w:t xml:space="preserve">how these posts are filled by persons with disabilities, particularly by persons with intellectual </w:t>
      </w:r>
      <w:r w:rsidR="00BA7563" w:rsidRPr="00AC1D26">
        <w:t>and</w:t>
      </w:r>
      <w:r w:rsidR="008A5202" w:rsidRPr="00AC1D26">
        <w:t>/or</w:t>
      </w:r>
      <w:r w:rsidR="00BA7563" w:rsidRPr="00AC1D26">
        <w:t xml:space="preserve"> psychosocial </w:t>
      </w:r>
      <w:r w:rsidR="00BB41D4" w:rsidRPr="00AC1D26">
        <w:t>disabilities</w:t>
      </w:r>
      <w:r w:rsidR="008A5202" w:rsidRPr="00AC1D26">
        <w:t xml:space="preserve"> including those from indigenous backgrounds</w:t>
      </w:r>
      <w:r w:rsidRPr="00AC1D26">
        <w:t>.</w:t>
      </w:r>
      <w:r w:rsidR="003157C6" w:rsidRPr="00AC1D26">
        <w:t xml:space="preserve"> </w:t>
      </w:r>
    </w:p>
    <w:p w14:paraId="6B1C5930" w14:textId="5E07DFC7" w:rsidR="00BB41D4" w:rsidRPr="00AC1D26" w:rsidRDefault="00F77C10" w:rsidP="00FA17F8">
      <w:pPr>
        <w:pStyle w:val="SingleTxtG"/>
        <w:numPr>
          <w:ilvl w:val="0"/>
          <w:numId w:val="10"/>
        </w:numPr>
        <w:ind w:left="1134" w:firstLine="0"/>
        <w:rPr>
          <w:b/>
          <w:lang w:eastAsia="ko-KR"/>
        </w:rPr>
      </w:pPr>
      <w:r w:rsidRPr="00AC1D26">
        <w:rPr>
          <w:b/>
          <w:lang w:eastAsia="ko-KR"/>
        </w:rPr>
        <w:t xml:space="preserve">The Committee recommends that the State party </w:t>
      </w:r>
      <w:r w:rsidR="00BC0AFE" w:rsidRPr="00AC1D26">
        <w:rPr>
          <w:b/>
          <w:lang w:eastAsia="ko-KR"/>
        </w:rPr>
        <w:t>take appropriate measures to gather data and develop</w:t>
      </w:r>
      <w:r w:rsidR="00BB41D4" w:rsidRPr="00AC1D26">
        <w:rPr>
          <w:b/>
          <w:lang w:eastAsia="ko-KR"/>
        </w:rPr>
        <w:t xml:space="preserve"> criteria to fill the </w:t>
      </w:r>
      <w:r w:rsidR="00362DCD">
        <w:rPr>
          <w:b/>
          <w:lang w:eastAsia="ko-KR"/>
        </w:rPr>
        <w:t>five</w:t>
      </w:r>
      <w:r w:rsidR="00362DCD" w:rsidRPr="00AC1D26">
        <w:rPr>
          <w:b/>
          <w:lang w:eastAsia="ko-KR"/>
        </w:rPr>
        <w:t xml:space="preserve"> </w:t>
      </w:r>
      <w:r w:rsidR="00BB41D4" w:rsidRPr="00AC1D26">
        <w:rPr>
          <w:b/>
          <w:lang w:eastAsia="ko-KR"/>
        </w:rPr>
        <w:t xml:space="preserve">per cent quota for civil service positions that are reserved for persons with disabilities </w:t>
      </w:r>
      <w:r w:rsidR="003A2038" w:rsidRPr="00AC1D26">
        <w:rPr>
          <w:b/>
          <w:lang w:eastAsia="ko-KR"/>
        </w:rPr>
        <w:t>including undertaking</w:t>
      </w:r>
      <w:r w:rsidR="003B0F86" w:rsidRPr="00AC1D26">
        <w:rPr>
          <w:b/>
          <w:lang w:eastAsia="ko-KR"/>
        </w:rPr>
        <w:t xml:space="preserve"> a </w:t>
      </w:r>
      <w:r w:rsidR="008A5202" w:rsidRPr="00AC1D26">
        <w:rPr>
          <w:b/>
          <w:lang w:eastAsia="ko-KR"/>
        </w:rPr>
        <w:t>comprehensive</w:t>
      </w:r>
      <w:r w:rsidR="003B0F86" w:rsidRPr="00AC1D26">
        <w:rPr>
          <w:b/>
          <w:lang w:eastAsia="ko-KR"/>
        </w:rPr>
        <w:t xml:space="preserve"> evaluation </w:t>
      </w:r>
      <w:r w:rsidR="008A5202" w:rsidRPr="00AC1D26">
        <w:rPr>
          <w:b/>
          <w:lang w:eastAsia="ko-KR"/>
        </w:rPr>
        <w:t xml:space="preserve">of these jobs in terms of quality, </w:t>
      </w:r>
      <w:r w:rsidR="00BB41D4" w:rsidRPr="00AC1D26">
        <w:rPr>
          <w:b/>
          <w:lang w:eastAsia="ko-KR"/>
        </w:rPr>
        <w:t xml:space="preserve">and the extent to which persons with intellectual </w:t>
      </w:r>
      <w:r w:rsidR="00BA7563" w:rsidRPr="00AC1D26">
        <w:rPr>
          <w:b/>
          <w:lang w:eastAsia="ko-KR"/>
        </w:rPr>
        <w:t>and</w:t>
      </w:r>
      <w:r w:rsidR="008A5202" w:rsidRPr="00AC1D26">
        <w:rPr>
          <w:b/>
          <w:lang w:eastAsia="ko-KR"/>
        </w:rPr>
        <w:t>/or</w:t>
      </w:r>
      <w:r w:rsidR="00BA7563" w:rsidRPr="00AC1D26">
        <w:rPr>
          <w:b/>
          <w:lang w:eastAsia="ko-KR"/>
        </w:rPr>
        <w:t xml:space="preserve"> psychosocial </w:t>
      </w:r>
      <w:r w:rsidR="00BB41D4" w:rsidRPr="00AC1D26">
        <w:rPr>
          <w:b/>
          <w:lang w:eastAsia="ko-KR"/>
        </w:rPr>
        <w:t>disabilities</w:t>
      </w:r>
      <w:r w:rsidR="008A5202" w:rsidRPr="00AC1D26">
        <w:rPr>
          <w:b/>
          <w:lang w:eastAsia="ko-KR"/>
        </w:rPr>
        <w:t>,</w:t>
      </w:r>
      <w:r w:rsidR="008A5202" w:rsidRPr="00AC1D26">
        <w:t xml:space="preserve"> </w:t>
      </w:r>
      <w:r w:rsidR="008A5202" w:rsidRPr="00AC1D26">
        <w:rPr>
          <w:b/>
          <w:lang w:eastAsia="ko-KR"/>
        </w:rPr>
        <w:t>including those from indigenous backgrounds,</w:t>
      </w:r>
      <w:r w:rsidR="00BB41D4" w:rsidRPr="00AC1D26">
        <w:rPr>
          <w:b/>
          <w:lang w:eastAsia="ko-KR"/>
        </w:rPr>
        <w:t xml:space="preserve"> </w:t>
      </w:r>
      <w:r w:rsidR="00BA7563" w:rsidRPr="00AC1D26">
        <w:rPr>
          <w:b/>
          <w:lang w:eastAsia="ko-KR"/>
        </w:rPr>
        <w:t>have benefitted from this quota</w:t>
      </w:r>
      <w:r w:rsidR="00E75459" w:rsidRPr="00AC1D26">
        <w:rPr>
          <w:b/>
          <w:lang w:eastAsia="ko-KR"/>
        </w:rPr>
        <w:t xml:space="preserve"> against those who remain unemployed</w:t>
      </w:r>
      <w:r w:rsidR="00BA7563" w:rsidRPr="00AC1D26">
        <w:rPr>
          <w:b/>
          <w:lang w:eastAsia="ko-KR"/>
        </w:rPr>
        <w:t>.</w:t>
      </w:r>
      <w:r w:rsidR="00E75459" w:rsidRPr="00AC1D26">
        <w:rPr>
          <w:b/>
          <w:lang w:eastAsia="ko-KR"/>
        </w:rPr>
        <w:t xml:space="preserve"> </w:t>
      </w:r>
    </w:p>
    <w:p w14:paraId="45C52082" w14:textId="0CC4720D" w:rsidR="00F77C10" w:rsidRPr="00AC1D26" w:rsidRDefault="00ED5EB8" w:rsidP="00ED5EB8">
      <w:pPr>
        <w:pStyle w:val="H23G"/>
        <w:rPr>
          <w:lang w:eastAsia="ko-KR"/>
        </w:rPr>
      </w:pPr>
      <w:r w:rsidRPr="00AC1D26">
        <w:rPr>
          <w:lang w:eastAsia="ko-KR"/>
        </w:rPr>
        <w:tab/>
      </w:r>
      <w:r w:rsidRPr="00AC1D26">
        <w:rPr>
          <w:lang w:eastAsia="ko-KR"/>
        </w:rPr>
        <w:tab/>
      </w:r>
      <w:r w:rsidR="00F77C10" w:rsidRPr="00AC1D26">
        <w:rPr>
          <w:lang w:eastAsia="ko-KR"/>
        </w:rPr>
        <w:t>Adequate standard of living and social protection (art. 28)</w:t>
      </w:r>
    </w:p>
    <w:p w14:paraId="367D0853" w14:textId="58279BBD" w:rsidR="00F77C10" w:rsidRPr="00AC1D26" w:rsidRDefault="00F77C10" w:rsidP="00C86824">
      <w:pPr>
        <w:pStyle w:val="SingleTxtG"/>
        <w:numPr>
          <w:ilvl w:val="0"/>
          <w:numId w:val="10"/>
        </w:numPr>
        <w:ind w:left="1134" w:firstLine="0"/>
        <w:rPr>
          <w:b/>
          <w:lang w:val="x-none" w:eastAsia="ko-KR"/>
        </w:rPr>
      </w:pPr>
      <w:r w:rsidRPr="00AC1D26">
        <w:rPr>
          <w:lang w:eastAsia="ko-KR"/>
        </w:rPr>
        <w:t>The Committee</w:t>
      </w:r>
      <w:r w:rsidRPr="00AC1D26">
        <w:rPr>
          <w:b/>
          <w:lang w:eastAsia="ko-KR"/>
        </w:rPr>
        <w:t xml:space="preserve"> </w:t>
      </w:r>
      <w:r w:rsidRPr="00AC1D26">
        <w:rPr>
          <w:lang w:eastAsia="ko-KR"/>
        </w:rPr>
        <w:t xml:space="preserve">is concerned about the actual effectiveness of a number of </w:t>
      </w:r>
      <w:r w:rsidR="00BB41D4" w:rsidRPr="00AC1D26">
        <w:rPr>
          <w:lang w:eastAsia="ko-KR"/>
        </w:rPr>
        <w:t xml:space="preserve">policy </w:t>
      </w:r>
      <w:r w:rsidRPr="00AC1D26">
        <w:rPr>
          <w:lang w:eastAsia="ko-KR"/>
        </w:rPr>
        <w:t xml:space="preserve">measures such as </w:t>
      </w:r>
      <w:r w:rsidRPr="00AC1D26">
        <w:t>the National Policy and Plan of Action on Disability, 2006 (NPPAD)</w:t>
      </w:r>
      <w:r w:rsidRPr="00AC1D26">
        <w:rPr>
          <w:lang w:eastAsia="ko-KR"/>
        </w:rPr>
        <w:t xml:space="preserve"> and the</w:t>
      </w:r>
      <w:r w:rsidRPr="00AC1D26">
        <w:t xml:space="preserve"> Poverty Alleviation Fund (PAF) </w:t>
      </w:r>
      <w:r w:rsidRPr="00AC1D26">
        <w:rPr>
          <w:lang w:eastAsia="ko-KR"/>
        </w:rPr>
        <w:t xml:space="preserve">in ensuring a decent standard of living </w:t>
      </w:r>
      <w:r w:rsidR="00BB41D4" w:rsidRPr="00AC1D26">
        <w:rPr>
          <w:lang w:eastAsia="ko-KR"/>
        </w:rPr>
        <w:t xml:space="preserve">for </w:t>
      </w:r>
      <w:r w:rsidRPr="00AC1D26">
        <w:rPr>
          <w:lang w:eastAsia="ko-KR"/>
        </w:rPr>
        <w:t>persons with disabilities</w:t>
      </w:r>
      <w:r w:rsidR="008A5202" w:rsidRPr="00AC1D26">
        <w:rPr>
          <w:lang w:eastAsia="ko-KR"/>
        </w:rPr>
        <w:t xml:space="preserve"> and allowing them to meet the additional costs of </w:t>
      </w:r>
      <w:r w:rsidR="00362DCD">
        <w:rPr>
          <w:lang w:eastAsia="ko-KR"/>
        </w:rPr>
        <w:t xml:space="preserve">living with a </w:t>
      </w:r>
      <w:r w:rsidR="008A5202" w:rsidRPr="00AC1D26">
        <w:rPr>
          <w:lang w:eastAsia="ko-KR"/>
        </w:rPr>
        <w:t>disability</w:t>
      </w:r>
      <w:r w:rsidRPr="00AC1D26">
        <w:rPr>
          <w:lang w:eastAsia="ko-KR"/>
        </w:rPr>
        <w:t xml:space="preserve">. The Committee is also concerned about </w:t>
      </w:r>
      <w:r w:rsidR="006A234D">
        <w:rPr>
          <w:lang w:eastAsia="ko-KR"/>
        </w:rPr>
        <w:t>the extent to which</w:t>
      </w:r>
      <w:r w:rsidR="006A234D" w:rsidRPr="00AC1D26">
        <w:t xml:space="preserve"> </w:t>
      </w:r>
      <w:r w:rsidRPr="00AC1D26">
        <w:t>commun</w:t>
      </w:r>
      <w:r w:rsidR="008543F0" w:rsidRPr="00AC1D26">
        <w:t>ity</w:t>
      </w:r>
      <w:r w:rsidRPr="00AC1D26">
        <w:t xml:space="preserve"> based rehabilitation (the "CBR")</w:t>
      </w:r>
      <w:r w:rsidRPr="00AC1D26">
        <w:rPr>
          <w:lang w:eastAsia="ko-KR"/>
        </w:rPr>
        <w:t xml:space="preserve"> </w:t>
      </w:r>
      <w:r w:rsidR="00BB41D4" w:rsidRPr="00AC1D26">
        <w:rPr>
          <w:lang w:eastAsia="ko-KR"/>
        </w:rPr>
        <w:t xml:space="preserve">programmes </w:t>
      </w:r>
      <w:r w:rsidRPr="00AC1D26">
        <w:rPr>
          <w:lang w:eastAsia="ko-KR"/>
        </w:rPr>
        <w:t xml:space="preserve">have been effective in reducing </w:t>
      </w:r>
      <w:r w:rsidR="008A5202" w:rsidRPr="00AC1D26">
        <w:rPr>
          <w:lang w:eastAsia="ko-KR"/>
        </w:rPr>
        <w:t xml:space="preserve">the </w:t>
      </w:r>
      <w:r w:rsidRPr="00AC1D26">
        <w:rPr>
          <w:lang w:eastAsia="ko-KR"/>
        </w:rPr>
        <w:t>number of persons with disabilities in poverty</w:t>
      </w:r>
      <w:r w:rsidR="00BB41D4" w:rsidRPr="00AC1D26">
        <w:rPr>
          <w:lang w:eastAsia="ko-KR"/>
        </w:rPr>
        <w:t>.</w:t>
      </w:r>
    </w:p>
    <w:p w14:paraId="66D05F57" w14:textId="5705E346" w:rsidR="00BC0AFE" w:rsidRPr="00AC1D26" w:rsidRDefault="00F77C10" w:rsidP="00C86824">
      <w:pPr>
        <w:pStyle w:val="SingleTxtG"/>
        <w:numPr>
          <w:ilvl w:val="0"/>
          <w:numId w:val="10"/>
        </w:numPr>
        <w:ind w:left="1134" w:firstLine="0"/>
        <w:rPr>
          <w:b/>
          <w:lang w:eastAsia="ko-KR"/>
        </w:rPr>
      </w:pPr>
      <w:r w:rsidRPr="00AC1D26">
        <w:rPr>
          <w:b/>
          <w:lang w:eastAsia="ko-KR"/>
        </w:rPr>
        <w:t>The Committee recommend</w:t>
      </w:r>
      <w:r w:rsidR="00BB41D4" w:rsidRPr="00AC1D26">
        <w:rPr>
          <w:b/>
          <w:lang w:eastAsia="ko-KR"/>
        </w:rPr>
        <w:t>s</w:t>
      </w:r>
      <w:r w:rsidRPr="00AC1D26">
        <w:rPr>
          <w:b/>
          <w:lang w:eastAsia="ko-KR"/>
        </w:rPr>
        <w:t xml:space="preserve"> </w:t>
      </w:r>
      <w:r w:rsidR="00BB41D4" w:rsidRPr="00AC1D26">
        <w:rPr>
          <w:b/>
          <w:lang w:eastAsia="ko-KR"/>
        </w:rPr>
        <w:t xml:space="preserve">that </w:t>
      </w:r>
      <w:r w:rsidRPr="00AC1D26">
        <w:rPr>
          <w:b/>
          <w:lang w:eastAsia="ko-KR"/>
        </w:rPr>
        <w:t xml:space="preserve">the State party </w:t>
      </w:r>
      <w:r w:rsidR="00BB41D4" w:rsidRPr="00AC1D26">
        <w:rPr>
          <w:b/>
          <w:bCs/>
          <w:lang w:eastAsia="ko-KR"/>
        </w:rPr>
        <w:t>take necessary measures to ensure that persons with disabilities throughout its territory have access to community-based rehabilitation</w:t>
      </w:r>
      <w:r w:rsidR="003157C6" w:rsidRPr="00AC1D26">
        <w:rPr>
          <w:b/>
          <w:bCs/>
          <w:lang w:eastAsia="ko-KR"/>
        </w:rPr>
        <w:t xml:space="preserve"> </w:t>
      </w:r>
      <w:r w:rsidR="00BB41D4" w:rsidRPr="00AC1D26">
        <w:rPr>
          <w:b/>
          <w:bCs/>
          <w:lang w:eastAsia="ko-KR"/>
        </w:rPr>
        <w:t>services</w:t>
      </w:r>
      <w:r w:rsidR="00BC0AFE" w:rsidRPr="00AC1D26">
        <w:rPr>
          <w:b/>
          <w:bCs/>
          <w:lang w:eastAsia="ko-KR"/>
        </w:rPr>
        <w:t xml:space="preserve"> and </w:t>
      </w:r>
      <w:r w:rsidR="008A5202" w:rsidRPr="00AC1D26">
        <w:rPr>
          <w:b/>
          <w:bCs/>
          <w:lang w:eastAsia="ko-KR"/>
        </w:rPr>
        <w:t>adequate social protection</w:t>
      </w:r>
      <w:r w:rsidR="00BB41D4" w:rsidRPr="00AC1D26">
        <w:rPr>
          <w:b/>
          <w:bCs/>
          <w:lang w:eastAsia="ko-KR"/>
        </w:rPr>
        <w:t xml:space="preserve"> programmes that are oriented towards social and community</w:t>
      </w:r>
      <w:r w:rsidR="003157C6" w:rsidRPr="00AC1D26">
        <w:rPr>
          <w:b/>
          <w:bCs/>
          <w:lang w:eastAsia="ko-KR"/>
        </w:rPr>
        <w:t xml:space="preserve"> </w:t>
      </w:r>
      <w:r w:rsidR="00BB41D4" w:rsidRPr="00AC1D26">
        <w:rPr>
          <w:b/>
          <w:bCs/>
          <w:lang w:eastAsia="ko-KR"/>
        </w:rPr>
        <w:t>inclusion.</w:t>
      </w:r>
      <w:r w:rsidR="00BB41D4" w:rsidRPr="00AC1D26">
        <w:rPr>
          <w:b/>
          <w:lang w:eastAsia="ko-KR"/>
        </w:rPr>
        <w:t xml:space="preserve"> </w:t>
      </w:r>
      <w:r w:rsidR="006A234D">
        <w:rPr>
          <w:b/>
          <w:lang w:eastAsia="ko-KR"/>
        </w:rPr>
        <w:t xml:space="preserve">The Committee requests that </w:t>
      </w:r>
      <w:r w:rsidR="00A2600F">
        <w:rPr>
          <w:b/>
          <w:lang w:eastAsia="ko-KR"/>
        </w:rPr>
        <w:t>the State party</w:t>
      </w:r>
      <w:r w:rsidR="00EA2F16" w:rsidRPr="00AC1D26">
        <w:rPr>
          <w:b/>
          <w:lang w:eastAsia="ko-KR"/>
        </w:rPr>
        <w:t xml:space="preserve"> </w:t>
      </w:r>
      <w:r w:rsidRPr="00AC1D26">
        <w:rPr>
          <w:b/>
          <w:lang w:eastAsia="ko-KR"/>
        </w:rPr>
        <w:t>p</w:t>
      </w:r>
      <w:r w:rsidRPr="00AC1D26">
        <w:rPr>
          <w:rFonts w:eastAsia="Arial"/>
          <w:b/>
          <w:lang w:bidi="ne-NP"/>
        </w:rPr>
        <w:t xml:space="preserve">rovide updated data </w:t>
      </w:r>
      <w:r w:rsidR="00EA2F16" w:rsidRPr="00AC1D26">
        <w:rPr>
          <w:rFonts w:eastAsia="Arial"/>
          <w:b/>
          <w:lang w:bidi="ne-NP"/>
        </w:rPr>
        <w:t xml:space="preserve">in its next periodic report </w:t>
      </w:r>
      <w:r w:rsidRPr="00AC1D26">
        <w:rPr>
          <w:rFonts w:eastAsia="Arial"/>
          <w:b/>
          <w:lang w:bidi="ne-NP"/>
        </w:rPr>
        <w:t>on the number and percentage of persons with disabilities</w:t>
      </w:r>
      <w:r w:rsidRPr="00AC1D26">
        <w:rPr>
          <w:b/>
          <w:lang w:eastAsia="ko-KR" w:bidi="ne-NP"/>
        </w:rPr>
        <w:t xml:space="preserve"> who have </w:t>
      </w:r>
      <w:r w:rsidR="006A234D">
        <w:rPr>
          <w:b/>
          <w:lang w:eastAsia="ko-KR" w:bidi="ne-NP"/>
        </w:rPr>
        <w:t>benefitted from</w:t>
      </w:r>
      <w:r w:rsidRPr="00AC1D26">
        <w:rPr>
          <w:rFonts w:eastAsia="Arial"/>
          <w:b/>
          <w:lang w:bidi="ne-NP"/>
        </w:rPr>
        <w:t xml:space="preserve"> social protection</w:t>
      </w:r>
      <w:r w:rsidRPr="00AC1D26">
        <w:rPr>
          <w:b/>
          <w:lang w:eastAsia="ko-KR" w:bidi="ne-NP"/>
        </w:rPr>
        <w:t xml:space="preserve"> </w:t>
      </w:r>
      <w:r w:rsidR="006A234D">
        <w:rPr>
          <w:b/>
          <w:lang w:eastAsia="ko-KR" w:bidi="ne-NP"/>
        </w:rPr>
        <w:t xml:space="preserve">floors </w:t>
      </w:r>
      <w:r w:rsidRPr="00AC1D26">
        <w:rPr>
          <w:b/>
          <w:lang w:eastAsia="ko-KR" w:bidi="ne-NP"/>
        </w:rPr>
        <w:t>from the Government</w:t>
      </w:r>
      <w:r w:rsidR="00EA2F16" w:rsidRPr="00AC1D26">
        <w:rPr>
          <w:b/>
          <w:lang w:eastAsia="ko-KR" w:bidi="ne-NP"/>
        </w:rPr>
        <w:t xml:space="preserve">, </w:t>
      </w:r>
      <w:r w:rsidR="006A234D">
        <w:rPr>
          <w:b/>
          <w:lang w:eastAsia="ko-KR" w:bidi="ne-NP"/>
        </w:rPr>
        <w:t xml:space="preserve">and request that this data is </w:t>
      </w:r>
      <w:r w:rsidRPr="00AC1D26">
        <w:rPr>
          <w:rFonts w:eastAsia="Arial"/>
          <w:b/>
          <w:lang w:bidi="ne-NP"/>
        </w:rPr>
        <w:t xml:space="preserve">disaggregated by sex, age, ethnicity and </w:t>
      </w:r>
      <w:r w:rsidRPr="00AC1D26">
        <w:rPr>
          <w:b/>
          <w:lang w:eastAsia="ko-KR" w:bidi="ne-NP"/>
        </w:rPr>
        <w:t xml:space="preserve">in particular </w:t>
      </w:r>
      <w:r w:rsidRPr="00AC1D26">
        <w:rPr>
          <w:rFonts w:eastAsia="Arial"/>
          <w:b/>
          <w:lang w:bidi="ne-NP"/>
        </w:rPr>
        <w:t>for persons with intellectual, and</w:t>
      </w:r>
      <w:r w:rsidR="008A5202" w:rsidRPr="00AC1D26">
        <w:rPr>
          <w:rFonts w:eastAsia="Arial"/>
          <w:b/>
          <w:lang w:bidi="ne-NP"/>
        </w:rPr>
        <w:t>/or</w:t>
      </w:r>
      <w:r w:rsidRPr="00AC1D26">
        <w:rPr>
          <w:rFonts w:eastAsia="Arial"/>
          <w:b/>
          <w:lang w:bidi="ne-NP"/>
        </w:rPr>
        <w:t xml:space="preserve"> psychosocial disabilities, hearing or visual disabilities and multiple disabilities</w:t>
      </w:r>
      <w:r w:rsidRPr="00AC1D26">
        <w:rPr>
          <w:b/>
          <w:lang w:eastAsia="ko-KR" w:bidi="ne-NP"/>
        </w:rPr>
        <w:t>.</w:t>
      </w:r>
    </w:p>
    <w:p w14:paraId="403DD21F" w14:textId="5626E181" w:rsidR="00F77C10" w:rsidRPr="00AC1D26" w:rsidRDefault="00ED5EB8" w:rsidP="00ED5EB8">
      <w:pPr>
        <w:pStyle w:val="H23G"/>
        <w:rPr>
          <w:lang w:eastAsia="ko-KR"/>
        </w:rPr>
      </w:pPr>
      <w:r w:rsidRPr="00AC1D26">
        <w:rPr>
          <w:lang w:eastAsia="ko-KR"/>
        </w:rPr>
        <w:tab/>
      </w:r>
      <w:r w:rsidRPr="00AC1D26">
        <w:rPr>
          <w:lang w:eastAsia="ko-KR"/>
        </w:rPr>
        <w:tab/>
      </w:r>
      <w:r w:rsidR="00F77C10" w:rsidRPr="00AC1D26">
        <w:t>Participation in Cultural Life, Recreation, Leisure and Sports</w:t>
      </w:r>
      <w:r w:rsidR="00F77C10" w:rsidRPr="00AC1D26">
        <w:rPr>
          <w:lang w:eastAsia="ko-KR"/>
        </w:rPr>
        <w:t xml:space="preserve"> (art.30)</w:t>
      </w:r>
    </w:p>
    <w:p w14:paraId="4D102E26" w14:textId="00F334BA" w:rsidR="00F77C10" w:rsidRPr="00AC1D26" w:rsidRDefault="00F77C10" w:rsidP="00C86824">
      <w:pPr>
        <w:pStyle w:val="SingleTxtG"/>
        <w:numPr>
          <w:ilvl w:val="0"/>
          <w:numId w:val="10"/>
        </w:numPr>
        <w:ind w:left="1134" w:firstLine="0"/>
        <w:rPr>
          <w:lang w:eastAsia="ko-KR"/>
        </w:rPr>
      </w:pPr>
      <w:r w:rsidRPr="00AC1D26">
        <w:rPr>
          <w:lang w:eastAsia="ko-KR"/>
        </w:rPr>
        <w:t>The Committee is concerned about how t</w:t>
      </w:r>
      <w:r w:rsidRPr="00AC1D26">
        <w:t>he National Sports Policy, 2010</w:t>
      </w:r>
      <w:r w:rsidR="00EA2F16" w:rsidRPr="00AC1D26">
        <w:t>,</w:t>
      </w:r>
      <w:r w:rsidRPr="00AC1D26">
        <w:rPr>
          <w:lang w:eastAsia="ko-KR"/>
        </w:rPr>
        <w:t xml:space="preserve"> which was </w:t>
      </w:r>
      <w:r w:rsidRPr="00AC1D26">
        <w:t xml:space="preserve">adopted to develop and expand para-sports </w:t>
      </w:r>
      <w:r w:rsidR="00E75459" w:rsidRPr="00AC1D26">
        <w:t xml:space="preserve">in order </w:t>
      </w:r>
      <w:r w:rsidRPr="00AC1D26">
        <w:t xml:space="preserve">to encourage persons with </w:t>
      </w:r>
      <w:r w:rsidR="00EA2F16" w:rsidRPr="00AC1D26">
        <w:t>d</w:t>
      </w:r>
      <w:r w:rsidRPr="00AC1D26">
        <w:t>isabilities to participate in sports of their interest</w:t>
      </w:r>
      <w:r w:rsidR="00EA2F16" w:rsidRPr="00AC1D26">
        <w:t>,</w:t>
      </w:r>
      <w:r w:rsidRPr="00AC1D26">
        <w:rPr>
          <w:lang w:eastAsia="ko-KR"/>
        </w:rPr>
        <w:t xml:space="preserve"> has been effective in ensuring the rights of p</w:t>
      </w:r>
      <w:r w:rsidRPr="00AC1D26">
        <w:t xml:space="preserve">ersons </w:t>
      </w:r>
      <w:r w:rsidR="00E75459" w:rsidRPr="00AC1D26">
        <w:t xml:space="preserve">with disabilities under article 30, particularly those with </w:t>
      </w:r>
      <w:r w:rsidRPr="00AC1D26">
        <w:t>visual, speech and hearing impairment.</w:t>
      </w:r>
      <w:r w:rsidR="00E75459" w:rsidRPr="00AC1D26">
        <w:t xml:space="preserve"> The Committee also notes that while the State party has signed the Marrakesh Treaty, it is yet to ratify it.</w:t>
      </w:r>
    </w:p>
    <w:p w14:paraId="00C7507C" w14:textId="3F3717D0" w:rsidR="00F77C10" w:rsidRPr="00AC1D26" w:rsidRDefault="00F77C10" w:rsidP="00C86824">
      <w:pPr>
        <w:pStyle w:val="SingleTxtG"/>
        <w:numPr>
          <w:ilvl w:val="0"/>
          <w:numId w:val="10"/>
        </w:numPr>
        <w:ind w:left="1134" w:firstLine="0"/>
        <w:rPr>
          <w:b/>
        </w:rPr>
      </w:pPr>
      <w:r w:rsidRPr="00AC1D26">
        <w:rPr>
          <w:b/>
          <w:lang w:eastAsia="ko-KR"/>
        </w:rPr>
        <w:t xml:space="preserve">The Committee recommends </w:t>
      </w:r>
      <w:r w:rsidR="00EA2F16" w:rsidRPr="00AC1D26">
        <w:rPr>
          <w:b/>
          <w:lang w:eastAsia="ko-KR"/>
        </w:rPr>
        <w:t xml:space="preserve">that </w:t>
      </w:r>
      <w:r w:rsidRPr="00AC1D26">
        <w:rPr>
          <w:b/>
          <w:lang w:eastAsia="ko-KR"/>
        </w:rPr>
        <w:t xml:space="preserve">the State party </w:t>
      </w:r>
      <w:r w:rsidR="00BC0AFE" w:rsidRPr="00AC1D26">
        <w:rPr>
          <w:b/>
          <w:lang w:eastAsia="ko-KR"/>
        </w:rPr>
        <w:t>take appropriate action and measures to ensure that persons with disabilities can participate in</w:t>
      </w:r>
      <w:r w:rsidRPr="00AC1D26">
        <w:rPr>
          <w:b/>
          <w:lang w:eastAsia="ko-KR"/>
        </w:rPr>
        <w:t xml:space="preserve"> </w:t>
      </w:r>
      <w:r w:rsidR="00EA2F16" w:rsidRPr="00AC1D26">
        <w:rPr>
          <w:b/>
        </w:rPr>
        <w:t>c</w:t>
      </w:r>
      <w:r w:rsidRPr="00AC1D26">
        <w:rPr>
          <w:b/>
        </w:rPr>
        <w:t xml:space="preserve">ultural, </w:t>
      </w:r>
      <w:r w:rsidR="00EA2F16" w:rsidRPr="00AC1D26">
        <w:rPr>
          <w:b/>
        </w:rPr>
        <w:t>r</w:t>
      </w:r>
      <w:r w:rsidRPr="00AC1D26">
        <w:rPr>
          <w:b/>
        </w:rPr>
        <w:t>ecreation</w:t>
      </w:r>
      <w:r w:rsidR="00EA2F16" w:rsidRPr="00AC1D26">
        <w:rPr>
          <w:b/>
        </w:rPr>
        <w:t>al</w:t>
      </w:r>
      <w:r w:rsidRPr="00AC1D26">
        <w:rPr>
          <w:b/>
        </w:rPr>
        <w:t xml:space="preserve">, </w:t>
      </w:r>
      <w:r w:rsidR="00EA2F16" w:rsidRPr="00AC1D26">
        <w:rPr>
          <w:b/>
        </w:rPr>
        <w:t>l</w:t>
      </w:r>
      <w:r w:rsidRPr="00AC1D26">
        <w:rPr>
          <w:b/>
        </w:rPr>
        <w:t xml:space="preserve">eisure and </w:t>
      </w:r>
      <w:r w:rsidR="00EA2F16" w:rsidRPr="00AC1D26">
        <w:rPr>
          <w:b/>
        </w:rPr>
        <w:t>s</w:t>
      </w:r>
      <w:r w:rsidRPr="00AC1D26">
        <w:rPr>
          <w:b/>
        </w:rPr>
        <w:t>port</w:t>
      </w:r>
      <w:r w:rsidR="00EA2F16" w:rsidRPr="00AC1D26">
        <w:rPr>
          <w:b/>
        </w:rPr>
        <w:t>ing</w:t>
      </w:r>
      <w:r w:rsidRPr="00AC1D26">
        <w:rPr>
          <w:b/>
          <w:lang w:eastAsia="ko-KR"/>
        </w:rPr>
        <w:t xml:space="preserve"> programs. </w:t>
      </w:r>
      <w:r w:rsidRPr="00AC1D26">
        <w:rPr>
          <w:b/>
        </w:rPr>
        <w:t xml:space="preserve">The Committee </w:t>
      </w:r>
      <w:r w:rsidR="00E75459" w:rsidRPr="00AC1D26">
        <w:rPr>
          <w:b/>
        </w:rPr>
        <w:t xml:space="preserve">also </w:t>
      </w:r>
      <w:r w:rsidRPr="00AC1D26">
        <w:rPr>
          <w:b/>
        </w:rPr>
        <w:t>encourages the State party to take all appropriate measures to ratify and implement the Marrakesh Treaty as soon as possible.</w:t>
      </w:r>
    </w:p>
    <w:p w14:paraId="45F69779" w14:textId="77777777" w:rsidR="0017334C" w:rsidRPr="00AC1D26" w:rsidRDefault="0017334C" w:rsidP="0017334C">
      <w:pPr>
        <w:pStyle w:val="H1G"/>
        <w:rPr>
          <w:lang w:eastAsia="ko-KR"/>
        </w:rPr>
      </w:pPr>
      <w:r w:rsidRPr="00AC1D26">
        <w:rPr>
          <w:lang w:eastAsia="ko-KR"/>
        </w:rPr>
        <w:tab/>
        <w:t>C.</w:t>
      </w:r>
      <w:r w:rsidRPr="00AC1D26">
        <w:rPr>
          <w:lang w:eastAsia="ko-KR"/>
        </w:rPr>
        <w:tab/>
      </w:r>
      <w:r w:rsidRPr="00AC1D26">
        <w:t>Specific obligations (arts. 31-33)</w:t>
      </w:r>
    </w:p>
    <w:p w14:paraId="201DD6CC" w14:textId="77777777" w:rsidR="0017334C" w:rsidRPr="00AC1D26" w:rsidRDefault="0017334C" w:rsidP="0017334C">
      <w:pPr>
        <w:pStyle w:val="H23G"/>
        <w:rPr>
          <w:lang w:eastAsia="ko-KR"/>
        </w:rPr>
      </w:pPr>
      <w:r w:rsidRPr="00AC1D26">
        <w:tab/>
      </w:r>
      <w:r w:rsidRPr="00AC1D26">
        <w:tab/>
        <w:t>Statistics and Data Collection</w:t>
      </w:r>
      <w:r w:rsidRPr="00AC1D26">
        <w:rPr>
          <w:lang w:eastAsia="ko-KR"/>
        </w:rPr>
        <w:t xml:space="preserve"> (a</w:t>
      </w:r>
      <w:r w:rsidRPr="00AC1D26">
        <w:t>rt</w:t>
      </w:r>
      <w:r w:rsidRPr="00AC1D26">
        <w:rPr>
          <w:lang w:eastAsia="ko-KR"/>
        </w:rPr>
        <w:t>.</w:t>
      </w:r>
      <w:r w:rsidRPr="00AC1D26">
        <w:t xml:space="preserve"> 31</w:t>
      </w:r>
      <w:r w:rsidRPr="00AC1D26">
        <w:rPr>
          <w:lang w:eastAsia="ko-KR"/>
        </w:rPr>
        <w:t>)</w:t>
      </w:r>
      <w:r w:rsidRPr="00AC1D26">
        <w:t xml:space="preserve"> </w:t>
      </w:r>
    </w:p>
    <w:p w14:paraId="33C621C8" w14:textId="77777777" w:rsidR="0017334C" w:rsidRPr="00AC1D26" w:rsidRDefault="0017334C" w:rsidP="00FA17F8">
      <w:pPr>
        <w:pStyle w:val="SingleTxtG"/>
        <w:numPr>
          <w:ilvl w:val="0"/>
          <w:numId w:val="10"/>
        </w:numPr>
        <w:ind w:left="1134" w:firstLine="0"/>
        <w:rPr>
          <w:lang w:eastAsia="ko-KR"/>
        </w:rPr>
      </w:pPr>
      <w:r w:rsidRPr="00AC1D26">
        <w:rPr>
          <w:lang w:eastAsia="ko-KR"/>
        </w:rPr>
        <w:t>The Committee is concerned that</w:t>
      </w:r>
      <w:r w:rsidRPr="00AC1D26">
        <w:rPr>
          <w:b/>
          <w:lang w:eastAsia="ko-KR"/>
        </w:rPr>
        <w:t xml:space="preserve"> </w:t>
      </w:r>
      <w:r w:rsidRPr="00AC1D26">
        <w:rPr>
          <w:lang w:eastAsia="ko-KR"/>
        </w:rPr>
        <w:t>t</w:t>
      </w:r>
      <w:r w:rsidRPr="00AC1D26">
        <w:t xml:space="preserve">he latest census carried in 2011 </w:t>
      </w:r>
      <w:r w:rsidRPr="00AC1D26">
        <w:rPr>
          <w:lang w:eastAsia="ko-KR"/>
        </w:rPr>
        <w:t xml:space="preserve">through the </w:t>
      </w:r>
      <w:r w:rsidRPr="00AC1D26">
        <w:t>Central Bureau of Statistics</w:t>
      </w:r>
      <w:r w:rsidRPr="00AC1D26">
        <w:rPr>
          <w:lang w:eastAsia="ko-KR"/>
        </w:rPr>
        <w:t xml:space="preserve"> </w:t>
      </w:r>
      <w:r w:rsidRPr="00AC1D26">
        <w:t>d</w:t>
      </w:r>
      <w:r w:rsidRPr="00AC1D26">
        <w:rPr>
          <w:lang w:eastAsia="ko-KR"/>
        </w:rPr>
        <w:t>id</w:t>
      </w:r>
      <w:r w:rsidRPr="00AC1D26">
        <w:t xml:space="preserve"> not collect disaggregated data on disabilities</w:t>
      </w:r>
      <w:r w:rsidRPr="00AC1D26">
        <w:rPr>
          <w:lang w:eastAsia="ko-KR"/>
        </w:rPr>
        <w:t xml:space="preserve"> and accordingly inadequately reflects the situation of </w:t>
      </w:r>
      <w:r w:rsidRPr="00AC1D26">
        <w:t xml:space="preserve">disability in </w:t>
      </w:r>
      <w:r w:rsidRPr="00AC1D26">
        <w:rPr>
          <w:lang w:eastAsia="ko-KR"/>
        </w:rPr>
        <w:t xml:space="preserve">the State party. </w:t>
      </w:r>
    </w:p>
    <w:p w14:paraId="530ACF0B" w14:textId="77777777" w:rsidR="0017334C" w:rsidRPr="00AC1D26" w:rsidRDefault="0017334C" w:rsidP="00FA17F8">
      <w:pPr>
        <w:pStyle w:val="SingleTxtG"/>
        <w:numPr>
          <w:ilvl w:val="0"/>
          <w:numId w:val="10"/>
        </w:numPr>
        <w:ind w:left="1134" w:firstLine="0"/>
        <w:rPr>
          <w:b/>
        </w:rPr>
      </w:pPr>
      <w:r w:rsidRPr="00AC1D26">
        <w:rPr>
          <w:b/>
          <w:lang w:eastAsia="ko-KR"/>
        </w:rPr>
        <w:t xml:space="preserve">The Committee recommends that </w:t>
      </w:r>
      <w:r w:rsidRPr="00AC1D26">
        <w:rPr>
          <w:b/>
        </w:rPr>
        <w:t>the State party pay attention to the links between article 31 of the Convention and Sustainable Development Goal 17, target 17.18 to increase significantly the availability of high-quality, timely and reliable data disaggregated by income, gender, age,</w:t>
      </w:r>
      <w:r w:rsidRPr="00AC1D26">
        <w:rPr>
          <w:b/>
          <w:lang w:eastAsia="ko-KR"/>
        </w:rPr>
        <w:t xml:space="preserve"> </w:t>
      </w:r>
      <w:r w:rsidRPr="00AC1D26">
        <w:rPr>
          <w:b/>
        </w:rPr>
        <w:t xml:space="preserve">race, ethnicity, migratory status, disability, geographic location and other characteristics relevant in national contexts and to analyse the data to provide tailored services for persons with disabilities. In this regard, the Committee recommends that the State party utilises the Washington Group Set of Questions in future censuses </w:t>
      </w:r>
      <w:r w:rsidRPr="00AC1D26">
        <w:rPr>
          <w:b/>
          <w:bCs/>
        </w:rPr>
        <w:t>in order to capture comprehensively data on disability.</w:t>
      </w:r>
    </w:p>
    <w:p w14:paraId="60B5CD95" w14:textId="77777777" w:rsidR="0017334C" w:rsidRPr="00AC1D26" w:rsidRDefault="0017334C" w:rsidP="0017334C">
      <w:pPr>
        <w:pStyle w:val="H23G"/>
        <w:rPr>
          <w:lang w:eastAsia="ko-KR"/>
        </w:rPr>
      </w:pPr>
      <w:r w:rsidRPr="00AC1D26">
        <w:rPr>
          <w:lang w:eastAsia="ko-KR"/>
        </w:rPr>
        <w:tab/>
      </w:r>
      <w:r w:rsidRPr="00AC1D26">
        <w:rPr>
          <w:lang w:eastAsia="ko-KR"/>
        </w:rPr>
        <w:tab/>
        <w:t>International cooperation (art. 32)</w:t>
      </w:r>
    </w:p>
    <w:p w14:paraId="399CBF3F" w14:textId="77777777" w:rsidR="0017334C" w:rsidRPr="00AC1D26" w:rsidRDefault="0017334C" w:rsidP="00FA17F8">
      <w:pPr>
        <w:pStyle w:val="SingleTxtG"/>
        <w:numPr>
          <w:ilvl w:val="0"/>
          <w:numId w:val="10"/>
        </w:numPr>
        <w:ind w:left="1134" w:firstLine="0"/>
        <w:rPr>
          <w:iCs/>
        </w:rPr>
      </w:pPr>
      <w:r w:rsidRPr="00AC1D26">
        <w:rPr>
          <w:lang w:eastAsia="ko-KR"/>
        </w:rPr>
        <w:t xml:space="preserve">The Committee is concerned that the State party’s collaboration with international bodies to improve the capacity of the State party to implement the Convention does not adequately include the participation of persons with disabilities. The Committee is further concerned about the extent to which </w:t>
      </w:r>
      <w:r w:rsidRPr="00AC1D26">
        <w:rPr>
          <w:iCs/>
        </w:rPr>
        <w:t xml:space="preserve">new technologies and good practices promptly reach persons with disabilities and </w:t>
      </w:r>
      <w:r w:rsidRPr="00AC1D26">
        <w:rPr>
          <w:iCs/>
          <w:lang w:eastAsia="ko-KR"/>
        </w:rPr>
        <w:t>representative organizations of persons with disabilities and also the extent to which persons with</w:t>
      </w:r>
      <w:r w:rsidRPr="00AC1D26">
        <w:rPr>
          <w:iCs/>
        </w:rPr>
        <w:t xml:space="preserve"> disabilities have been </w:t>
      </w:r>
      <w:r w:rsidRPr="00AC1D26">
        <w:rPr>
          <w:iCs/>
          <w:lang w:eastAsia="ko-KR"/>
        </w:rPr>
        <w:t xml:space="preserve">included </w:t>
      </w:r>
      <w:r w:rsidRPr="00AC1D26">
        <w:rPr>
          <w:iCs/>
        </w:rPr>
        <w:t>in consultations or partnerships to achieve the Sustainable Development Goals.</w:t>
      </w:r>
    </w:p>
    <w:p w14:paraId="4D619FDD" w14:textId="77777777" w:rsidR="0017334C" w:rsidRPr="00AC1D26" w:rsidRDefault="0017334C" w:rsidP="00FA17F8">
      <w:pPr>
        <w:pStyle w:val="SingleTxtG"/>
        <w:numPr>
          <w:ilvl w:val="0"/>
          <w:numId w:val="10"/>
        </w:numPr>
        <w:ind w:left="1134" w:firstLine="0"/>
        <w:rPr>
          <w:b/>
          <w:iCs/>
        </w:rPr>
      </w:pPr>
      <w:r w:rsidRPr="00AC1D26">
        <w:rPr>
          <w:b/>
          <w:lang w:eastAsia="ko-KR"/>
        </w:rPr>
        <w:t xml:space="preserve">The Committee recommends that the State party review international projects undertaken by the State party in partnership with global aid agencies to ensure full compliance with the principles of the Convention, and ensure the meaningful and empowered inclusion of persons with disabilities and their representative organisations in designing, implementing and monitoring disability inclusive development projects and also in achieving </w:t>
      </w:r>
      <w:r w:rsidRPr="00AC1D26">
        <w:rPr>
          <w:b/>
          <w:iCs/>
        </w:rPr>
        <w:t>Sustainable Development Goals.</w:t>
      </w:r>
    </w:p>
    <w:p w14:paraId="353EC22B" w14:textId="366C926B" w:rsidR="0017334C" w:rsidRPr="001A4B77" w:rsidRDefault="0017334C" w:rsidP="00FA17F8">
      <w:pPr>
        <w:pStyle w:val="H23G"/>
        <w:rPr>
          <w:lang w:eastAsia="ko-KR"/>
        </w:rPr>
      </w:pPr>
      <w:r w:rsidRPr="00AC1D26">
        <w:rPr>
          <w:lang w:eastAsia="ko-KR"/>
        </w:rPr>
        <w:tab/>
      </w:r>
      <w:r w:rsidRPr="00AC1D26">
        <w:rPr>
          <w:lang w:eastAsia="ko-KR"/>
        </w:rPr>
        <w:tab/>
      </w:r>
      <w:r w:rsidRPr="001A4B77">
        <w:rPr>
          <w:lang w:eastAsia="ko-KR"/>
        </w:rPr>
        <w:t>National implementation and monitoring (art. 33)</w:t>
      </w:r>
    </w:p>
    <w:p w14:paraId="43ABC024" w14:textId="56CBD1A3" w:rsidR="0017334C" w:rsidRPr="00AC1D26" w:rsidRDefault="0017334C" w:rsidP="00FA17F8">
      <w:pPr>
        <w:pStyle w:val="SingleTxtG"/>
        <w:numPr>
          <w:ilvl w:val="0"/>
          <w:numId w:val="10"/>
        </w:numPr>
        <w:ind w:left="1134" w:firstLine="0"/>
        <w:rPr>
          <w:lang w:eastAsia="ko-KR"/>
        </w:rPr>
      </w:pPr>
      <w:r w:rsidRPr="00AC1D26">
        <w:rPr>
          <w:lang w:eastAsia="ko-KR"/>
        </w:rPr>
        <w:t>The Committee is concerned about the lack of resources and the lack</w:t>
      </w:r>
      <w:r w:rsidR="008E4899" w:rsidRPr="00AC1D26">
        <w:rPr>
          <w:lang w:eastAsia="ko-KR"/>
        </w:rPr>
        <w:t xml:space="preserve"> </w:t>
      </w:r>
      <w:r w:rsidRPr="00AC1D26">
        <w:rPr>
          <w:lang w:eastAsia="ko-KR"/>
        </w:rPr>
        <w:t>of</w:t>
      </w:r>
      <w:r w:rsidR="008E4899" w:rsidRPr="00AC1D26">
        <w:rPr>
          <w:lang w:eastAsia="ko-KR"/>
        </w:rPr>
        <w:t xml:space="preserve"> </w:t>
      </w:r>
      <w:r w:rsidRPr="00AC1D26">
        <w:rPr>
          <w:lang w:eastAsia="ko-KR"/>
        </w:rPr>
        <w:t xml:space="preserve">effective and </w:t>
      </w:r>
      <w:r w:rsidRPr="00A2600F">
        <w:rPr>
          <w:lang w:eastAsia="ko-KR"/>
        </w:rPr>
        <w:t>comprehensive</w:t>
      </w:r>
      <w:r w:rsidRPr="00AC1D26">
        <w:rPr>
          <w:lang w:eastAsia="ko-KR"/>
        </w:rPr>
        <w:t xml:space="preserve"> inclusion of organizations of persons with disabilities in order to facilitate their participation in the monitoring processes regarding the implementation of the Convention in accordance with article 33 (3).</w:t>
      </w:r>
    </w:p>
    <w:p w14:paraId="2EF6FAB9" w14:textId="77777777" w:rsidR="0017334C" w:rsidRPr="00AC1D26" w:rsidRDefault="0017334C" w:rsidP="00FA17F8">
      <w:pPr>
        <w:pStyle w:val="SingleTxtG"/>
        <w:numPr>
          <w:ilvl w:val="0"/>
          <w:numId w:val="10"/>
        </w:numPr>
        <w:ind w:left="1134" w:firstLine="0"/>
        <w:rPr>
          <w:lang w:eastAsia="ko-KR"/>
        </w:rPr>
      </w:pPr>
      <w:r w:rsidRPr="00AC1D26">
        <w:rPr>
          <w:b/>
          <w:lang w:eastAsia="ko-KR"/>
        </w:rPr>
        <w:t>The Committee recommends that the State party provide adequate funding for both established monitoring frameworks and organizations of persons with disabilities to enable them to monitor the implementation of the Convention across the State party, in accordance with article 33 (3) and taking into account the</w:t>
      </w:r>
      <w:r w:rsidRPr="00AC1D26">
        <w:rPr>
          <w:b/>
          <w:bCs/>
          <w:lang w:eastAsia="ko-KR"/>
        </w:rPr>
        <w:t xml:space="preserve"> guidelines on independent monitoring frameworks and their participation in the work of the Committee on the Rights of Persons with Disabilities (CRPD/C/1/Rev.1, annex)</w:t>
      </w:r>
      <w:r w:rsidRPr="00AC1D26">
        <w:rPr>
          <w:b/>
          <w:lang w:eastAsia="ko-KR"/>
        </w:rPr>
        <w:t>.</w:t>
      </w:r>
    </w:p>
    <w:p w14:paraId="53FD5649" w14:textId="77777777" w:rsidR="0017334C" w:rsidRPr="00AC1D26" w:rsidRDefault="0017334C" w:rsidP="0017334C">
      <w:pPr>
        <w:pStyle w:val="H23G"/>
      </w:pPr>
      <w:r w:rsidRPr="00AC1D26">
        <w:tab/>
      </w:r>
      <w:r w:rsidRPr="00AC1D26">
        <w:tab/>
        <w:t>Follow-up to concluding observations and dissemination</w:t>
      </w:r>
    </w:p>
    <w:p w14:paraId="1A27204F" w14:textId="77777777" w:rsidR="008D3F2F" w:rsidRPr="008D3F2F" w:rsidRDefault="008D3F2F" w:rsidP="00A2600F">
      <w:pPr>
        <w:pStyle w:val="SingleTxtG"/>
        <w:numPr>
          <w:ilvl w:val="0"/>
          <w:numId w:val="10"/>
        </w:numPr>
        <w:ind w:left="1134" w:firstLine="0"/>
      </w:pPr>
      <w:r w:rsidRPr="008D3F2F">
        <w:t>The Committee requests the State party to provide, within 12 months and in accordance with article 35, paragraph 2 of the Convention, written information on the steps undertaken to implement the recommendations contained in paragraph 20.</w:t>
      </w:r>
    </w:p>
    <w:p w14:paraId="38E40882" w14:textId="1EE2EAEF" w:rsidR="0017334C" w:rsidRPr="00AC1D26" w:rsidRDefault="0017334C" w:rsidP="00FA17F8">
      <w:pPr>
        <w:pStyle w:val="SingleTxtG"/>
        <w:numPr>
          <w:ilvl w:val="0"/>
          <w:numId w:val="10"/>
        </w:numPr>
        <w:ind w:left="1134" w:firstLine="0"/>
      </w:pPr>
      <w:r w:rsidRPr="00AC1D26">
        <w:t xml:space="preserve">The Committee requests the State party to implement the recommendations of the Committee as contained in the present concluding observations. The Committee recommends that the State party transmit the concluding observations for consideration and action to members of the Government and Parliament, officials in the relevant Ministries, the Judiciary, law enforcement officers and members of relevant professional groups, such as education, medical and legal professionals, as well as to local authorities, the private sector, and the media, using modern social communication strategies. </w:t>
      </w:r>
    </w:p>
    <w:p w14:paraId="1F2742D6" w14:textId="77777777" w:rsidR="0017334C" w:rsidRPr="00AC1D26" w:rsidRDefault="0017334C" w:rsidP="00FA17F8">
      <w:pPr>
        <w:pStyle w:val="SingleTxtG"/>
        <w:numPr>
          <w:ilvl w:val="0"/>
          <w:numId w:val="10"/>
        </w:numPr>
        <w:ind w:left="1134" w:firstLine="0"/>
      </w:pPr>
      <w:r w:rsidRPr="00AC1D26">
        <w:t xml:space="preserve">The Committee requests the State party to disseminate the present concluding observations widely, including to non-governmental organizations and representative organizations of persons with disabilities, as well as to persons with disabilities themselves and members of their families, in accessible formats. </w:t>
      </w:r>
    </w:p>
    <w:p w14:paraId="403BDCE4" w14:textId="0A73C20F" w:rsidR="0017334C" w:rsidRPr="00AC1D26" w:rsidRDefault="0017334C" w:rsidP="00FA17F8">
      <w:pPr>
        <w:pStyle w:val="SingleTxtG"/>
        <w:numPr>
          <w:ilvl w:val="0"/>
          <w:numId w:val="10"/>
        </w:numPr>
        <w:ind w:left="1134" w:firstLine="0"/>
      </w:pPr>
      <w:r w:rsidRPr="00AC1D26">
        <w:t xml:space="preserve">The Committee strongly encourages the State party to involve civil society organizations, in particular disabled persons’ organizations, in the preparation of its second </w:t>
      </w:r>
      <w:r w:rsidR="007535BC">
        <w:t xml:space="preserve">to fourth </w:t>
      </w:r>
      <w:r w:rsidRPr="00AC1D26">
        <w:t>periodic report</w:t>
      </w:r>
      <w:r w:rsidR="007535BC">
        <w:t>s</w:t>
      </w:r>
      <w:r w:rsidRPr="00AC1D26">
        <w:t>.</w:t>
      </w:r>
    </w:p>
    <w:p w14:paraId="389DD48C" w14:textId="77777777" w:rsidR="0017334C" w:rsidRPr="00AC1D26" w:rsidRDefault="0017334C" w:rsidP="0017334C">
      <w:pPr>
        <w:pStyle w:val="H23G"/>
      </w:pPr>
      <w:r w:rsidRPr="00AC1D26">
        <w:tab/>
      </w:r>
      <w:r w:rsidRPr="00AC1D26">
        <w:tab/>
        <w:t>Technical cooperation</w:t>
      </w:r>
    </w:p>
    <w:p w14:paraId="19EFC7FE" w14:textId="77777777" w:rsidR="0017334C" w:rsidRPr="00AC1D26" w:rsidRDefault="0017334C" w:rsidP="00FA17F8">
      <w:pPr>
        <w:pStyle w:val="SingleTxtG"/>
        <w:numPr>
          <w:ilvl w:val="0"/>
          <w:numId w:val="10"/>
        </w:numPr>
        <w:ind w:left="1134" w:firstLine="0"/>
        <w:rPr>
          <w:b/>
        </w:rPr>
      </w:pPr>
      <w:r w:rsidRPr="00AC1D26">
        <w:rPr>
          <w:b/>
        </w:rPr>
        <w:t>The Committee recommends that the State party avail itself of technical cooperation from the member organizations of the Inter-Agency Support Group (IASG) for the Convention for the purpose of obtaining guidance and assistance on implementing the Convention and the present concluding observations.</w:t>
      </w:r>
    </w:p>
    <w:p w14:paraId="1ED8198B" w14:textId="77777777" w:rsidR="0017334C" w:rsidRPr="00AC1D26" w:rsidRDefault="0017334C" w:rsidP="0017334C">
      <w:pPr>
        <w:pStyle w:val="H23G"/>
      </w:pPr>
      <w:r w:rsidRPr="00AC1D26">
        <w:tab/>
      </w:r>
      <w:r w:rsidRPr="00AC1D26">
        <w:tab/>
        <w:t>Next report</w:t>
      </w:r>
    </w:p>
    <w:p w14:paraId="0F18B9ED" w14:textId="694D612B" w:rsidR="0017334C" w:rsidRPr="00AC1D26" w:rsidRDefault="0017334C" w:rsidP="00FA17F8">
      <w:pPr>
        <w:pStyle w:val="SingleTxtG"/>
        <w:numPr>
          <w:ilvl w:val="0"/>
          <w:numId w:val="10"/>
        </w:numPr>
        <w:ind w:left="1134" w:firstLine="0"/>
        <w:rPr>
          <w:b/>
        </w:rPr>
      </w:pPr>
      <w:r w:rsidRPr="00AC1D26">
        <w:rPr>
          <w:b/>
          <w:lang w:eastAsia="ko-KR"/>
        </w:rPr>
        <w:t>The</w:t>
      </w:r>
      <w:r w:rsidRPr="00AC1D26">
        <w:rPr>
          <w:b/>
        </w:rPr>
        <w:t xml:space="preserve"> Committee requests the State party to submit its combined second, </w:t>
      </w:r>
      <w:r w:rsidR="0048035B">
        <w:rPr>
          <w:b/>
        </w:rPr>
        <w:t>to</w:t>
      </w:r>
      <w:r w:rsidRPr="00AC1D26">
        <w:rPr>
          <w:b/>
        </w:rPr>
        <w:t xml:space="preserve"> fourth periodic reports by no later than 7 June 2024, and to include therein information on the implementation of the present concluding observations. The Committee invites the State party to consider submitting the above-mentioned reports under the Committee’s simplified reporting procedure, according to which the Committee prepares a list of issues at least one year prior to the due date set for the report/combined reports of a State party. The replies of a State party to such a list of issues constitutes its report.</w:t>
      </w:r>
    </w:p>
    <w:p w14:paraId="0EBB1483" w14:textId="77777777" w:rsidR="001C6663" w:rsidRPr="00CC0C5F" w:rsidRDefault="006A57C5" w:rsidP="006A57C5">
      <w:pPr>
        <w:spacing w:before="240"/>
        <w:ind w:left="1134" w:right="1134"/>
        <w:jc w:val="center"/>
        <w:rPr>
          <w:u w:val="single"/>
        </w:rPr>
      </w:pPr>
      <w:r w:rsidRPr="00CC0C5F">
        <w:rPr>
          <w:u w:val="single"/>
        </w:rPr>
        <w:tab/>
      </w:r>
      <w:r w:rsidRPr="00CC0C5F">
        <w:rPr>
          <w:u w:val="single"/>
        </w:rPr>
        <w:tab/>
      </w:r>
      <w:r w:rsidRPr="00CC0C5F">
        <w:rPr>
          <w:u w:val="single"/>
        </w:rPr>
        <w:tab/>
      </w:r>
    </w:p>
    <w:sectPr w:rsidR="001C6663" w:rsidRPr="00CC0C5F" w:rsidSect="003157C6">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43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C348C" w14:textId="77777777" w:rsidR="00EC1D04" w:rsidRDefault="00EC1D04"/>
  </w:endnote>
  <w:endnote w:type="continuationSeparator" w:id="0">
    <w:p w14:paraId="62C4CB62" w14:textId="77777777" w:rsidR="00EC1D04" w:rsidRDefault="00EC1D04"/>
  </w:endnote>
  <w:endnote w:type="continuationNotice" w:id="1">
    <w:p w14:paraId="5A4095E5" w14:textId="77777777" w:rsidR="00EC1D04" w:rsidRDefault="00EC1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FD38" w14:textId="35EC3549" w:rsidR="00A71BAF" w:rsidRPr="00A71BAF" w:rsidRDefault="00A71BAF" w:rsidP="00A71BAF">
    <w:pPr>
      <w:pStyle w:val="Footer"/>
      <w:tabs>
        <w:tab w:val="right" w:pos="9638"/>
      </w:tabs>
      <w:rPr>
        <w:sz w:val="18"/>
      </w:rPr>
    </w:pPr>
    <w:r w:rsidRPr="00A71BAF">
      <w:rPr>
        <w:b/>
        <w:sz w:val="18"/>
      </w:rPr>
      <w:fldChar w:fldCharType="begin"/>
    </w:r>
    <w:r w:rsidRPr="00A71BAF">
      <w:rPr>
        <w:b/>
        <w:sz w:val="18"/>
      </w:rPr>
      <w:instrText xml:space="preserve"> PAGE  \* MERGEFORMAT </w:instrText>
    </w:r>
    <w:r w:rsidRPr="00A71BAF">
      <w:rPr>
        <w:b/>
        <w:sz w:val="18"/>
      </w:rPr>
      <w:fldChar w:fldCharType="separate"/>
    </w:r>
    <w:r w:rsidR="00C67A82">
      <w:rPr>
        <w:b/>
        <w:noProof/>
        <w:sz w:val="18"/>
      </w:rPr>
      <w:t>8</w:t>
    </w:r>
    <w:r w:rsidRPr="00A71BA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8317" w14:textId="3E65E4B3" w:rsidR="00A71BAF" w:rsidRPr="00A71BAF" w:rsidRDefault="00A71BAF" w:rsidP="00A71BAF">
    <w:pPr>
      <w:pStyle w:val="Footer"/>
      <w:tabs>
        <w:tab w:val="right" w:pos="9638"/>
      </w:tabs>
      <w:rPr>
        <w:b/>
        <w:sz w:val="18"/>
      </w:rPr>
    </w:pPr>
    <w:r>
      <w:tab/>
    </w:r>
    <w:r w:rsidRPr="00A71BAF">
      <w:rPr>
        <w:b/>
        <w:sz w:val="18"/>
      </w:rPr>
      <w:fldChar w:fldCharType="begin"/>
    </w:r>
    <w:r w:rsidRPr="00A71BAF">
      <w:rPr>
        <w:b/>
        <w:sz w:val="18"/>
      </w:rPr>
      <w:instrText xml:space="preserve"> PAGE  \* MERGEFORMAT </w:instrText>
    </w:r>
    <w:r w:rsidRPr="00A71BAF">
      <w:rPr>
        <w:b/>
        <w:sz w:val="18"/>
      </w:rPr>
      <w:fldChar w:fldCharType="separate"/>
    </w:r>
    <w:r w:rsidR="00C67A82">
      <w:rPr>
        <w:b/>
        <w:noProof/>
        <w:sz w:val="18"/>
      </w:rPr>
      <w:t>9</w:t>
    </w:r>
    <w:r w:rsidRPr="00A71BA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77F0D" w14:textId="4708EEB5" w:rsidR="0055378F" w:rsidRDefault="0055378F" w:rsidP="0055378F">
    <w:pPr>
      <w:pStyle w:val="Footer"/>
    </w:pPr>
    <w:r>
      <w:rPr>
        <w:noProof/>
        <w:lang w:eastAsia="en-GB"/>
      </w:rPr>
      <w:drawing>
        <wp:anchor distT="0" distB="0" distL="114300" distR="114300" simplePos="0" relativeHeight="251659264" behindDoc="1" locked="1" layoutInCell="1" allowOverlap="1" wp14:anchorId="68D16740" wp14:editId="4472F11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CBA5DB0" w14:textId="105557FA" w:rsidR="0055378F" w:rsidRDefault="0055378F" w:rsidP="0055378F">
    <w:pPr>
      <w:pStyle w:val="Footer"/>
      <w:ind w:right="1134"/>
      <w:rPr>
        <w:sz w:val="20"/>
      </w:rPr>
    </w:pPr>
    <w:r>
      <w:rPr>
        <w:sz w:val="20"/>
      </w:rPr>
      <w:t>GE.18-02735(E)</w:t>
    </w:r>
  </w:p>
  <w:p w14:paraId="351CD735" w14:textId="6AD6916A" w:rsidR="0055378F" w:rsidRPr="0055378F" w:rsidRDefault="0055378F" w:rsidP="0055378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093FD9FE" wp14:editId="1549D67D">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RPD/C/NPL/CO/R.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NPL/CO/R.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48E8" w14:textId="77777777" w:rsidR="00EC1D04" w:rsidRPr="000B175B" w:rsidRDefault="00EC1D04" w:rsidP="000B175B">
      <w:pPr>
        <w:tabs>
          <w:tab w:val="right" w:pos="2155"/>
        </w:tabs>
        <w:spacing w:after="80"/>
        <w:ind w:left="680"/>
        <w:rPr>
          <w:u w:val="single"/>
        </w:rPr>
      </w:pPr>
      <w:r>
        <w:rPr>
          <w:u w:val="single"/>
        </w:rPr>
        <w:tab/>
      </w:r>
    </w:p>
  </w:footnote>
  <w:footnote w:type="continuationSeparator" w:id="0">
    <w:p w14:paraId="37FD141F" w14:textId="77777777" w:rsidR="00EC1D04" w:rsidRPr="00FC68B7" w:rsidRDefault="00EC1D04" w:rsidP="00FC68B7">
      <w:pPr>
        <w:tabs>
          <w:tab w:val="left" w:pos="2155"/>
        </w:tabs>
        <w:spacing w:after="80"/>
        <w:ind w:left="680"/>
        <w:rPr>
          <w:u w:val="single"/>
        </w:rPr>
      </w:pPr>
      <w:r>
        <w:rPr>
          <w:u w:val="single"/>
        </w:rPr>
        <w:tab/>
      </w:r>
    </w:p>
  </w:footnote>
  <w:footnote w:type="continuationNotice" w:id="1">
    <w:p w14:paraId="42E10C91" w14:textId="77777777" w:rsidR="00EC1D04" w:rsidRDefault="00EC1D04"/>
  </w:footnote>
  <w:footnote w:id="2">
    <w:p w14:paraId="420E8E12" w14:textId="432742E5" w:rsidR="0017334C" w:rsidRPr="00A7031B" w:rsidRDefault="0017334C" w:rsidP="0017334C">
      <w:pPr>
        <w:pStyle w:val="FootnoteText"/>
        <w:rPr>
          <w:sz w:val="20"/>
        </w:rPr>
      </w:pPr>
      <w:r>
        <w:rPr>
          <w:rStyle w:val="FootnoteReference"/>
        </w:rPr>
        <w:tab/>
      </w:r>
      <w:r>
        <w:rPr>
          <w:rStyle w:val="FootnoteReference"/>
          <w:sz w:val="20"/>
        </w:rPr>
        <w:t>*</w:t>
      </w:r>
      <w:r>
        <w:tab/>
      </w:r>
      <w:r>
        <w:rPr>
          <w:lang w:val="en-US"/>
        </w:rPr>
        <w:t>Adopted by the Committee at its nineteen session (14 February – 9 March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E6B01" w14:textId="7A872C96" w:rsidR="00A71BAF" w:rsidRPr="00A71BAF" w:rsidRDefault="00A71BAF">
    <w:pPr>
      <w:pStyle w:val="Header"/>
    </w:pPr>
    <w:r>
      <w:t>CRPD/C/NPL/CO/1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2C4D0" w14:textId="2EC66A42" w:rsidR="00A71BAF" w:rsidRPr="00A71BAF" w:rsidRDefault="00A71BAF" w:rsidP="00A71BAF">
    <w:pPr>
      <w:pStyle w:val="Header"/>
      <w:jc w:val="right"/>
    </w:pPr>
    <w:r>
      <w:t>CRPD/C/NPL/CO/1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B31B1"/>
    <w:multiLevelType w:val="hybridMultilevel"/>
    <w:tmpl w:val="434AC20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CD3F5D"/>
    <w:multiLevelType w:val="hybridMultilevel"/>
    <w:tmpl w:val="3EB05A7C"/>
    <w:lvl w:ilvl="0" w:tplc="A4E2F78A">
      <w:start w:val="1"/>
      <w:numFmt w:val="decimal"/>
      <w:lvlText w:val="%1."/>
      <w:lvlJc w:val="left"/>
      <w:pPr>
        <w:ind w:left="1035"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DE54BB9"/>
    <w:multiLevelType w:val="hybridMultilevel"/>
    <w:tmpl w:val="24E829EC"/>
    <w:lvl w:ilvl="0" w:tplc="B8BCA77E">
      <w:start w:val="7"/>
      <w:numFmt w:val="decimal"/>
      <w:lvlText w:val="%1."/>
      <w:lvlJc w:val="left"/>
      <w:pPr>
        <w:ind w:left="149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FD30CF9"/>
    <w:multiLevelType w:val="hybridMultilevel"/>
    <w:tmpl w:val="27A4137A"/>
    <w:lvl w:ilvl="0" w:tplc="675A4BD6">
      <w:start w:val="4"/>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6" w15:restartNumberingAfterBreak="0">
    <w:nsid w:val="2F20163C"/>
    <w:multiLevelType w:val="hybridMultilevel"/>
    <w:tmpl w:val="3EB05A7C"/>
    <w:lvl w:ilvl="0" w:tplc="A4E2F78A">
      <w:start w:val="1"/>
      <w:numFmt w:val="decimal"/>
      <w:lvlText w:val="%1."/>
      <w:lvlJc w:val="left"/>
      <w:pPr>
        <w:ind w:left="1035"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45B12"/>
    <w:multiLevelType w:val="hybridMultilevel"/>
    <w:tmpl w:val="DC264B80"/>
    <w:lvl w:ilvl="0" w:tplc="D018DF52">
      <w:start w:val="1"/>
      <w:numFmt w:val="upperLetter"/>
      <w:lvlText w:val="%1."/>
      <w:lvlJc w:val="left"/>
      <w:pPr>
        <w:ind w:left="1140" w:hanging="525"/>
      </w:pPr>
      <w:rPr>
        <w:rFonts w:hint="default"/>
      </w:rPr>
    </w:lvl>
    <w:lvl w:ilvl="1" w:tplc="04090019" w:tentative="1">
      <w:start w:val="1"/>
      <w:numFmt w:val="upperLetter"/>
      <w:lvlText w:val="%2."/>
      <w:lvlJc w:val="left"/>
      <w:pPr>
        <w:ind w:left="1415" w:hanging="400"/>
      </w:pPr>
    </w:lvl>
    <w:lvl w:ilvl="2" w:tplc="0409001B" w:tentative="1">
      <w:start w:val="1"/>
      <w:numFmt w:val="lowerRoman"/>
      <w:lvlText w:val="%3."/>
      <w:lvlJc w:val="right"/>
      <w:pPr>
        <w:ind w:left="1815" w:hanging="400"/>
      </w:pPr>
    </w:lvl>
    <w:lvl w:ilvl="3" w:tplc="0409000F" w:tentative="1">
      <w:start w:val="1"/>
      <w:numFmt w:val="decimal"/>
      <w:lvlText w:val="%4."/>
      <w:lvlJc w:val="left"/>
      <w:pPr>
        <w:ind w:left="2215" w:hanging="400"/>
      </w:pPr>
    </w:lvl>
    <w:lvl w:ilvl="4" w:tplc="04090019" w:tentative="1">
      <w:start w:val="1"/>
      <w:numFmt w:val="upperLetter"/>
      <w:lvlText w:val="%5."/>
      <w:lvlJc w:val="left"/>
      <w:pPr>
        <w:ind w:left="2615" w:hanging="400"/>
      </w:pPr>
    </w:lvl>
    <w:lvl w:ilvl="5" w:tplc="0409001B" w:tentative="1">
      <w:start w:val="1"/>
      <w:numFmt w:val="lowerRoman"/>
      <w:lvlText w:val="%6."/>
      <w:lvlJc w:val="right"/>
      <w:pPr>
        <w:ind w:left="3015" w:hanging="400"/>
      </w:pPr>
    </w:lvl>
    <w:lvl w:ilvl="6" w:tplc="0409000F" w:tentative="1">
      <w:start w:val="1"/>
      <w:numFmt w:val="decimal"/>
      <w:lvlText w:val="%7."/>
      <w:lvlJc w:val="left"/>
      <w:pPr>
        <w:ind w:left="3415" w:hanging="400"/>
      </w:pPr>
    </w:lvl>
    <w:lvl w:ilvl="7" w:tplc="04090019" w:tentative="1">
      <w:start w:val="1"/>
      <w:numFmt w:val="upperLetter"/>
      <w:lvlText w:val="%8."/>
      <w:lvlJc w:val="left"/>
      <w:pPr>
        <w:ind w:left="3815" w:hanging="400"/>
      </w:pPr>
    </w:lvl>
    <w:lvl w:ilvl="8" w:tplc="0409001B" w:tentative="1">
      <w:start w:val="1"/>
      <w:numFmt w:val="lowerRoman"/>
      <w:lvlText w:val="%9."/>
      <w:lvlJc w:val="right"/>
      <w:pPr>
        <w:ind w:left="4215" w:hanging="400"/>
      </w:pPr>
    </w:lvl>
  </w:abstractNum>
  <w:abstractNum w:abstractNumId="8" w15:restartNumberingAfterBreak="0">
    <w:nsid w:val="583D73D6"/>
    <w:multiLevelType w:val="hybridMultilevel"/>
    <w:tmpl w:val="40D48A5C"/>
    <w:lvl w:ilvl="0" w:tplc="04060017">
      <w:start w:val="1"/>
      <w:numFmt w:val="lowerLetter"/>
      <w:lvlText w:val="%1)"/>
      <w:lvlJc w:val="left"/>
      <w:pPr>
        <w:ind w:left="2061" w:hanging="360"/>
      </w:pPr>
    </w:lvl>
    <w:lvl w:ilvl="1" w:tplc="04060019" w:tentative="1">
      <w:start w:val="1"/>
      <w:numFmt w:val="lowerLetter"/>
      <w:lvlText w:val="%2."/>
      <w:lvlJc w:val="left"/>
      <w:pPr>
        <w:ind w:left="2781" w:hanging="360"/>
      </w:pPr>
    </w:lvl>
    <w:lvl w:ilvl="2" w:tplc="0406001B" w:tentative="1">
      <w:start w:val="1"/>
      <w:numFmt w:val="lowerRoman"/>
      <w:lvlText w:val="%3."/>
      <w:lvlJc w:val="right"/>
      <w:pPr>
        <w:ind w:left="3501" w:hanging="180"/>
      </w:pPr>
    </w:lvl>
    <w:lvl w:ilvl="3" w:tplc="0406000F" w:tentative="1">
      <w:start w:val="1"/>
      <w:numFmt w:val="decimal"/>
      <w:lvlText w:val="%4."/>
      <w:lvlJc w:val="left"/>
      <w:pPr>
        <w:ind w:left="4221" w:hanging="360"/>
      </w:pPr>
    </w:lvl>
    <w:lvl w:ilvl="4" w:tplc="04060019" w:tentative="1">
      <w:start w:val="1"/>
      <w:numFmt w:val="lowerLetter"/>
      <w:lvlText w:val="%5."/>
      <w:lvlJc w:val="left"/>
      <w:pPr>
        <w:ind w:left="4941" w:hanging="360"/>
      </w:pPr>
    </w:lvl>
    <w:lvl w:ilvl="5" w:tplc="0406001B" w:tentative="1">
      <w:start w:val="1"/>
      <w:numFmt w:val="lowerRoman"/>
      <w:lvlText w:val="%6."/>
      <w:lvlJc w:val="right"/>
      <w:pPr>
        <w:ind w:left="5661" w:hanging="180"/>
      </w:pPr>
    </w:lvl>
    <w:lvl w:ilvl="6" w:tplc="0406000F" w:tentative="1">
      <w:start w:val="1"/>
      <w:numFmt w:val="decimal"/>
      <w:lvlText w:val="%7."/>
      <w:lvlJc w:val="left"/>
      <w:pPr>
        <w:ind w:left="6381" w:hanging="360"/>
      </w:pPr>
    </w:lvl>
    <w:lvl w:ilvl="7" w:tplc="04060019" w:tentative="1">
      <w:start w:val="1"/>
      <w:numFmt w:val="lowerLetter"/>
      <w:lvlText w:val="%8."/>
      <w:lvlJc w:val="left"/>
      <w:pPr>
        <w:ind w:left="7101" w:hanging="360"/>
      </w:pPr>
    </w:lvl>
    <w:lvl w:ilvl="8" w:tplc="0406001B" w:tentative="1">
      <w:start w:val="1"/>
      <w:numFmt w:val="lowerRoman"/>
      <w:lvlText w:val="%9."/>
      <w:lvlJc w:val="right"/>
      <w:pPr>
        <w:ind w:left="7821"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9A6E56"/>
    <w:multiLevelType w:val="hybridMultilevel"/>
    <w:tmpl w:val="5874CF74"/>
    <w:lvl w:ilvl="0" w:tplc="07742CFE">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0"/>
  </w:num>
  <w:num w:numId="2">
    <w:abstractNumId w:val="9"/>
  </w:num>
  <w:num w:numId="3">
    <w:abstractNumId w:val="3"/>
  </w:num>
  <w:num w:numId="4">
    <w:abstractNumId w:val="10"/>
  </w:num>
  <w:num w:numId="5">
    <w:abstractNumId w:val="7"/>
  </w:num>
  <w:num w:numId="6">
    <w:abstractNumId w:val="5"/>
  </w:num>
  <w:num w:numId="7">
    <w:abstractNumId w:val="4"/>
  </w:num>
  <w:num w:numId="8">
    <w:abstractNumId w:val="8"/>
  </w:num>
  <w:num w:numId="9">
    <w:abstractNumId w:val="1"/>
  </w:num>
  <w:num w:numId="10">
    <w:abstractNumId w:val="2"/>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AF"/>
    <w:rsid w:val="00032FF2"/>
    <w:rsid w:val="00050F6B"/>
    <w:rsid w:val="00072C8C"/>
    <w:rsid w:val="000733B5"/>
    <w:rsid w:val="00077485"/>
    <w:rsid w:val="00082504"/>
    <w:rsid w:val="000931C0"/>
    <w:rsid w:val="000A1A74"/>
    <w:rsid w:val="000A5D3B"/>
    <w:rsid w:val="000B175B"/>
    <w:rsid w:val="000B19D3"/>
    <w:rsid w:val="000B3A0F"/>
    <w:rsid w:val="000B4EF7"/>
    <w:rsid w:val="000C1462"/>
    <w:rsid w:val="000C2D2E"/>
    <w:rsid w:val="000E0415"/>
    <w:rsid w:val="0010167B"/>
    <w:rsid w:val="001103AA"/>
    <w:rsid w:val="00154431"/>
    <w:rsid w:val="00155467"/>
    <w:rsid w:val="0017334C"/>
    <w:rsid w:val="00174117"/>
    <w:rsid w:val="00180D95"/>
    <w:rsid w:val="00185BD1"/>
    <w:rsid w:val="0018711F"/>
    <w:rsid w:val="001A2468"/>
    <w:rsid w:val="001A4B77"/>
    <w:rsid w:val="001B4B04"/>
    <w:rsid w:val="001C1FE3"/>
    <w:rsid w:val="001C4123"/>
    <w:rsid w:val="001C6663"/>
    <w:rsid w:val="001C7895"/>
    <w:rsid w:val="001D26DF"/>
    <w:rsid w:val="001E5AA0"/>
    <w:rsid w:val="00202DA8"/>
    <w:rsid w:val="00211E0B"/>
    <w:rsid w:val="00233EB5"/>
    <w:rsid w:val="00240F71"/>
    <w:rsid w:val="002449F6"/>
    <w:rsid w:val="0025756B"/>
    <w:rsid w:val="00265C85"/>
    <w:rsid w:val="00271463"/>
    <w:rsid w:val="002839E7"/>
    <w:rsid w:val="00287210"/>
    <w:rsid w:val="002F175C"/>
    <w:rsid w:val="003157C6"/>
    <w:rsid w:val="003229D8"/>
    <w:rsid w:val="00323AE6"/>
    <w:rsid w:val="00352709"/>
    <w:rsid w:val="003547DF"/>
    <w:rsid w:val="00356C3C"/>
    <w:rsid w:val="00362C0D"/>
    <w:rsid w:val="00362DCD"/>
    <w:rsid w:val="0036609D"/>
    <w:rsid w:val="00371178"/>
    <w:rsid w:val="00380C68"/>
    <w:rsid w:val="003A2038"/>
    <w:rsid w:val="003A4810"/>
    <w:rsid w:val="003A6810"/>
    <w:rsid w:val="003B0F86"/>
    <w:rsid w:val="003C2CC4"/>
    <w:rsid w:val="003D2A39"/>
    <w:rsid w:val="003D4B23"/>
    <w:rsid w:val="003E52ED"/>
    <w:rsid w:val="00405DDC"/>
    <w:rsid w:val="00410C89"/>
    <w:rsid w:val="0041562B"/>
    <w:rsid w:val="00421E5B"/>
    <w:rsid w:val="004325CB"/>
    <w:rsid w:val="0045190F"/>
    <w:rsid w:val="00453411"/>
    <w:rsid w:val="0045495B"/>
    <w:rsid w:val="0048035B"/>
    <w:rsid w:val="004907C2"/>
    <w:rsid w:val="004953E8"/>
    <w:rsid w:val="004A18D6"/>
    <w:rsid w:val="004A30E1"/>
    <w:rsid w:val="004A63C9"/>
    <w:rsid w:val="004D158A"/>
    <w:rsid w:val="004D25E4"/>
    <w:rsid w:val="00504DAA"/>
    <w:rsid w:val="00510712"/>
    <w:rsid w:val="00517B36"/>
    <w:rsid w:val="005227DC"/>
    <w:rsid w:val="00530F74"/>
    <w:rsid w:val="00537C19"/>
    <w:rsid w:val="005420F2"/>
    <w:rsid w:val="005503D2"/>
    <w:rsid w:val="0055378F"/>
    <w:rsid w:val="005B3DB3"/>
    <w:rsid w:val="005C3573"/>
    <w:rsid w:val="005C6A79"/>
    <w:rsid w:val="005C6EBA"/>
    <w:rsid w:val="005D6B3D"/>
    <w:rsid w:val="005F4BC1"/>
    <w:rsid w:val="006001EE"/>
    <w:rsid w:val="00611FC4"/>
    <w:rsid w:val="006176FB"/>
    <w:rsid w:val="00634EA5"/>
    <w:rsid w:val="00640B26"/>
    <w:rsid w:val="00646687"/>
    <w:rsid w:val="0065318E"/>
    <w:rsid w:val="00667387"/>
    <w:rsid w:val="006747B6"/>
    <w:rsid w:val="006777BF"/>
    <w:rsid w:val="0069146B"/>
    <w:rsid w:val="006A234D"/>
    <w:rsid w:val="006A57C5"/>
    <w:rsid w:val="006C3760"/>
    <w:rsid w:val="006C5F51"/>
    <w:rsid w:val="006E564B"/>
    <w:rsid w:val="006E6078"/>
    <w:rsid w:val="006F7FC3"/>
    <w:rsid w:val="00701EC2"/>
    <w:rsid w:val="00710A91"/>
    <w:rsid w:val="00717DA1"/>
    <w:rsid w:val="0072219B"/>
    <w:rsid w:val="0072632A"/>
    <w:rsid w:val="007535BC"/>
    <w:rsid w:val="00755DBE"/>
    <w:rsid w:val="007670A4"/>
    <w:rsid w:val="00773254"/>
    <w:rsid w:val="00776913"/>
    <w:rsid w:val="007769B9"/>
    <w:rsid w:val="007B6BA5"/>
    <w:rsid w:val="007C3390"/>
    <w:rsid w:val="007C4F4B"/>
    <w:rsid w:val="007F6611"/>
    <w:rsid w:val="008242D7"/>
    <w:rsid w:val="00840D65"/>
    <w:rsid w:val="0085226B"/>
    <w:rsid w:val="008543F0"/>
    <w:rsid w:val="008610A8"/>
    <w:rsid w:val="008969BF"/>
    <w:rsid w:val="008979B1"/>
    <w:rsid w:val="008A5202"/>
    <w:rsid w:val="008A6B25"/>
    <w:rsid w:val="008A6C4F"/>
    <w:rsid w:val="008B2335"/>
    <w:rsid w:val="008B44C6"/>
    <w:rsid w:val="008C02E6"/>
    <w:rsid w:val="008C4480"/>
    <w:rsid w:val="008C6E31"/>
    <w:rsid w:val="008D3F2F"/>
    <w:rsid w:val="008E0E8E"/>
    <w:rsid w:val="008E4899"/>
    <w:rsid w:val="008F4D2A"/>
    <w:rsid w:val="00916E36"/>
    <w:rsid w:val="009223CA"/>
    <w:rsid w:val="00936984"/>
    <w:rsid w:val="00940F93"/>
    <w:rsid w:val="009501B5"/>
    <w:rsid w:val="00963A3E"/>
    <w:rsid w:val="009A69E6"/>
    <w:rsid w:val="009B0F0E"/>
    <w:rsid w:val="009C14AA"/>
    <w:rsid w:val="009C5AC7"/>
    <w:rsid w:val="009E31E7"/>
    <w:rsid w:val="009E3768"/>
    <w:rsid w:val="009E6225"/>
    <w:rsid w:val="009F627F"/>
    <w:rsid w:val="009F7711"/>
    <w:rsid w:val="009F7C5D"/>
    <w:rsid w:val="00A01489"/>
    <w:rsid w:val="00A2600F"/>
    <w:rsid w:val="00A612EE"/>
    <w:rsid w:val="00A71BAF"/>
    <w:rsid w:val="00A72BF1"/>
    <w:rsid w:val="00A72F22"/>
    <w:rsid w:val="00A748A6"/>
    <w:rsid w:val="00A776B4"/>
    <w:rsid w:val="00A901D7"/>
    <w:rsid w:val="00A94361"/>
    <w:rsid w:val="00AA347B"/>
    <w:rsid w:val="00AC1D26"/>
    <w:rsid w:val="00AC2BDD"/>
    <w:rsid w:val="00AD0221"/>
    <w:rsid w:val="00AD152E"/>
    <w:rsid w:val="00AD3FB9"/>
    <w:rsid w:val="00AF38DB"/>
    <w:rsid w:val="00B03E9F"/>
    <w:rsid w:val="00B06775"/>
    <w:rsid w:val="00B15E69"/>
    <w:rsid w:val="00B30179"/>
    <w:rsid w:val="00B56E9C"/>
    <w:rsid w:val="00B60258"/>
    <w:rsid w:val="00B64B1F"/>
    <w:rsid w:val="00B6553F"/>
    <w:rsid w:val="00B8046C"/>
    <w:rsid w:val="00B81E12"/>
    <w:rsid w:val="00B90C8C"/>
    <w:rsid w:val="00BA0569"/>
    <w:rsid w:val="00BA235F"/>
    <w:rsid w:val="00BA7563"/>
    <w:rsid w:val="00BB1078"/>
    <w:rsid w:val="00BB41D4"/>
    <w:rsid w:val="00BC0AFE"/>
    <w:rsid w:val="00BC1C1A"/>
    <w:rsid w:val="00BC3EF2"/>
    <w:rsid w:val="00BC74E9"/>
    <w:rsid w:val="00BE37B8"/>
    <w:rsid w:val="00BF68A8"/>
    <w:rsid w:val="00C17F7E"/>
    <w:rsid w:val="00C213A4"/>
    <w:rsid w:val="00C3206E"/>
    <w:rsid w:val="00C3576A"/>
    <w:rsid w:val="00C400A2"/>
    <w:rsid w:val="00C463DD"/>
    <w:rsid w:val="00C4724C"/>
    <w:rsid w:val="00C629A0"/>
    <w:rsid w:val="00C67A82"/>
    <w:rsid w:val="00C70D83"/>
    <w:rsid w:val="00C745C3"/>
    <w:rsid w:val="00C75FB9"/>
    <w:rsid w:val="00C86824"/>
    <w:rsid w:val="00CC00AC"/>
    <w:rsid w:val="00CC0C5F"/>
    <w:rsid w:val="00CC52F1"/>
    <w:rsid w:val="00CC7FE0"/>
    <w:rsid w:val="00CD1BB1"/>
    <w:rsid w:val="00CE4A8F"/>
    <w:rsid w:val="00CF09A4"/>
    <w:rsid w:val="00D027C1"/>
    <w:rsid w:val="00D2031B"/>
    <w:rsid w:val="00D218CB"/>
    <w:rsid w:val="00D25FE2"/>
    <w:rsid w:val="00D33A5B"/>
    <w:rsid w:val="00D34E19"/>
    <w:rsid w:val="00D43252"/>
    <w:rsid w:val="00D448BB"/>
    <w:rsid w:val="00D51E7F"/>
    <w:rsid w:val="00D714C2"/>
    <w:rsid w:val="00D93D82"/>
    <w:rsid w:val="00D978C6"/>
    <w:rsid w:val="00DA02FB"/>
    <w:rsid w:val="00DA3C1C"/>
    <w:rsid w:val="00DB04EB"/>
    <w:rsid w:val="00E06B73"/>
    <w:rsid w:val="00E22B22"/>
    <w:rsid w:val="00E37778"/>
    <w:rsid w:val="00E440A4"/>
    <w:rsid w:val="00E47855"/>
    <w:rsid w:val="00E50814"/>
    <w:rsid w:val="00E67EBF"/>
    <w:rsid w:val="00E71BC8"/>
    <w:rsid w:val="00E7260F"/>
    <w:rsid w:val="00E75459"/>
    <w:rsid w:val="00E879F8"/>
    <w:rsid w:val="00E96630"/>
    <w:rsid w:val="00EA2F16"/>
    <w:rsid w:val="00EB6FF7"/>
    <w:rsid w:val="00EC1D04"/>
    <w:rsid w:val="00ED32A3"/>
    <w:rsid w:val="00ED3342"/>
    <w:rsid w:val="00ED427E"/>
    <w:rsid w:val="00ED5EB8"/>
    <w:rsid w:val="00ED7A2A"/>
    <w:rsid w:val="00EE4D26"/>
    <w:rsid w:val="00EF1D7F"/>
    <w:rsid w:val="00F02F65"/>
    <w:rsid w:val="00F15D77"/>
    <w:rsid w:val="00F34583"/>
    <w:rsid w:val="00F44201"/>
    <w:rsid w:val="00F504DF"/>
    <w:rsid w:val="00F77C10"/>
    <w:rsid w:val="00F81534"/>
    <w:rsid w:val="00F82EDA"/>
    <w:rsid w:val="00F91C6C"/>
    <w:rsid w:val="00F96595"/>
    <w:rsid w:val="00FA17F8"/>
    <w:rsid w:val="00FA271C"/>
    <w:rsid w:val="00FC1645"/>
    <w:rsid w:val="00FC68B7"/>
    <w:rsid w:val="00FD4793"/>
    <w:rsid w:val="00FF7D0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76495F"/>
  <w15:docId w15:val="{11D2C481-9D9D-4167-A9B6-113F933C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46C"/>
    <w:pPr>
      <w:suppressAutoHyphens/>
      <w:spacing w:line="240" w:lineRule="atLeast"/>
    </w:pPr>
    <w:rPr>
      <w:lang w:val="en-GB" w:eastAsia="en-US"/>
    </w:rPr>
  </w:style>
  <w:style w:type="paragraph" w:styleId="Heading1">
    <w:name w:val="heading 1"/>
    <w:aliases w:val="Table_G"/>
    <w:basedOn w:val="SingleTxtG"/>
    <w:next w:val="SingleTxtG"/>
    <w:qFormat/>
    <w:rsid w:val="00C213A4"/>
    <w:pPr>
      <w:spacing w:after="0" w:line="240" w:lineRule="auto"/>
      <w:ind w:right="0"/>
      <w:jc w:val="left"/>
      <w:outlineLvl w:val="0"/>
    </w:pPr>
  </w:style>
  <w:style w:type="paragraph" w:styleId="Heading2">
    <w:name w:val="heading 2"/>
    <w:basedOn w:val="Normal"/>
    <w:next w:val="Normal"/>
    <w:link w:val="Heading2Char"/>
    <w:uiPriority w:val="9"/>
    <w:semiHidden/>
    <w:qFormat/>
    <w:rsid w:val="00C213A4"/>
    <w:pPr>
      <w:spacing w:line="240" w:lineRule="auto"/>
      <w:outlineLvl w:val="1"/>
    </w:pPr>
  </w:style>
  <w:style w:type="paragraph" w:styleId="Heading3">
    <w:name w:val="heading 3"/>
    <w:basedOn w:val="Normal"/>
    <w:next w:val="Normal"/>
    <w:link w:val="Heading3Char"/>
    <w:uiPriority w:val="1"/>
    <w:qFormat/>
    <w:rsid w:val="00C213A4"/>
    <w:pPr>
      <w:spacing w:line="240" w:lineRule="auto"/>
      <w:outlineLvl w:val="2"/>
    </w:pPr>
  </w:style>
  <w:style w:type="paragraph" w:styleId="Heading4">
    <w:name w:val="heading 4"/>
    <w:basedOn w:val="Normal"/>
    <w:next w:val="Normal"/>
    <w:semiHidden/>
    <w:qFormat/>
    <w:rsid w:val="00C213A4"/>
    <w:pPr>
      <w:spacing w:line="240" w:lineRule="auto"/>
      <w:outlineLvl w:val="3"/>
    </w:pPr>
  </w:style>
  <w:style w:type="paragraph" w:styleId="Heading5">
    <w:name w:val="heading 5"/>
    <w:basedOn w:val="Normal"/>
    <w:next w:val="Normal"/>
    <w:semiHidden/>
    <w:qFormat/>
    <w:rsid w:val="00C213A4"/>
    <w:pPr>
      <w:spacing w:line="240" w:lineRule="auto"/>
      <w:outlineLvl w:val="4"/>
    </w:pPr>
  </w:style>
  <w:style w:type="paragraph" w:styleId="Heading6">
    <w:name w:val="heading 6"/>
    <w:basedOn w:val="Normal"/>
    <w:next w:val="Normal"/>
    <w:semiHidden/>
    <w:qFormat/>
    <w:rsid w:val="00C213A4"/>
    <w:pPr>
      <w:spacing w:line="240" w:lineRule="auto"/>
      <w:outlineLvl w:val="5"/>
    </w:pPr>
  </w:style>
  <w:style w:type="paragraph" w:styleId="Heading7">
    <w:name w:val="heading 7"/>
    <w:basedOn w:val="Normal"/>
    <w:next w:val="Normal"/>
    <w:semiHidden/>
    <w:qFormat/>
    <w:rsid w:val="00C213A4"/>
    <w:pPr>
      <w:spacing w:line="240" w:lineRule="auto"/>
      <w:outlineLvl w:val="6"/>
    </w:pPr>
  </w:style>
  <w:style w:type="paragraph" w:styleId="Heading8">
    <w:name w:val="heading 8"/>
    <w:basedOn w:val="Normal"/>
    <w:next w:val="Normal"/>
    <w:semiHidden/>
    <w:qFormat/>
    <w:rsid w:val="00C213A4"/>
    <w:pPr>
      <w:spacing w:line="240" w:lineRule="auto"/>
      <w:outlineLvl w:val="7"/>
    </w:pPr>
  </w:style>
  <w:style w:type="paragraph" w:styleId="Heading9">
    <w:name w:val="heading 9"/>
    <w:basedOn w:val="Normal"/>
    <w:next w:val="Normal"/>
    <w:semiHidden/>
    <w:qFormat/>
    <w:rsid w:val="00C213A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213A4"/>
    <w:pPr>
      <w:spacing w:after="120"/>
      <w:ind w:left="1134" w:right="1134"/>
      <w:jc w:val="both"/>
    </w:pPr>
  </w:style>
  <w:style w:type="paragraph" w:customStyle="1" w:styleId="HMG">
    <w:name w:val="_ H __M_G"/>
    <w:basedOn w:val="Normal"/>
    <w:next w:val="Normal"/>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213A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 Superscript,BVI fnr,16 Point,Superscript 6 Point,Footnote Reference Number,Footnote Reference_LVL6,Footnote Reference_LVL61,Footnote Reference_LVL62,Footnote Reference_LVL63,Footnote Reference_LVL64,Footnote Ref"/>
    <w:basedOn w:val="DefaultParagraphFont"/>
    <w:link w:val="BVIfnrCharCharCharChar"/>
    <w:qFormat/>
    <w:rsid w:val="00C213A4"/>
    <w:rPr>
      <w:rFonts w:ascii="Times New Roman" w:hAnsi="Times New Roman"/>
      <w:sz w:val="18"/>
      <w:vertAlign w:val="superscript"/>
    </w:rPr>
  </w:style>
  <w:style w:type="character" w:styleId="EndnoteReference">
    <w:name w:val="endnote reference"/>
    <w:aliases w:val="1_G"/>
    <w:basedOn w:val="FootnoteReference"/>
    <w:qFormat/>
    <w:rsid w:val="00C213A4"/>
    <w:rPr>
      <w:rFonts w:ascii="Times New Roman" w:hAnsi="Times New Roman"/>
      <w:sz w:val="18"/>
      <w:vertAlign w:val="superscript"/>
    </w:rPr>
  </w:style>
  <w:style w:type="paragraph" w:styleId="Header">
    <w:name w:val="header"/>
    <w:aliases w:val="6_G"/>
    <w:basedOn w:val="Normal"/>
    <w:qFormat/>
    <w:rsid w:val="00C213A4"/>
    <w:pPr>
      <w:pBdr>
        <w:bottom w:val="single" w:sz="4" w:space="4" w:color="auto"/>
      </w:pBdr>
      <w:spacing w:line="240" w:lineRule="auto"/>
    </w:pPr>
    <w:rPr>
      <w:b/>
      <w:sz w:val="18"/>
    </w:rPr>
  </w:style>
  <w:style w:type="table" w:styleId="TableGrid">
    <w:name w:val="Table Grid"/>
    <w:basedOn w:val="TableNormal"/>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213A4"/>
    <w:rPr>
      <w:color w:val="auto"/>
      <w:u w:val="none"/>
    </w:rPr>
  </w:style>
  <w:style w:type="character" w:styleId="FollowedHyperlink">
    <w:name w:val="FollowedHyperlink"/>
    <w:basedOn w:val="DefaultParagraphFont"/>
    <w:semiHidden/>
    <w:rsid w:val="00C213A4"/>
    <w:rPr>
      <w:color w:val="auto"/>
      <w:u w:val="none"/>
    </w:rPr>
  </w:style>
  <w:style w:type="paragraph" w:customStyle="1" w:styleId="SMG">
    <w:name w:val="__S_M_G"/>
    <w:basedOn w:val="Normal"/>
    <w:next w:val="Normal"/>
    <w:rsid w:val="00C213A4"/>
    <w:pPr>
      <w:keepNext/>
      <w:keepLines/>
      <w:spacing w:before="240" w:after="240" w:line="420" w:lineRule="exact"/>
      <w:ind w:left="1134" w:right="1134"/>
    </w:pPr>
    <w:rPr>
      <w:b/>
      <w:sz w:val="40"/>
    </w:rPr>
  </w:style>
  <w:style w:type="paragraph" w:customStyle="1" w:styleId="SLG">
    <w:name w:val="__S_L_G"/>
    <w:basedOn w:val="Normal"/>
    <w:next w:val="Normal"/>
    <w:rsid w:val="00C213A4"/>
    <w:pPr>
      <w:keepNext/>
      <w:keepLines/>
      <w:spacing w:before="240" w:after="240" w:line="580" w:lineRule="exact"/>
      <w:ind w:left="1134" w:right="1134"/>
    </w:pPr>
    <w:rPr>
      <w:b/>
      <w:sz w:val="56"/>
    </w:rPr>
  </w:style>
  <w:style w:type="paragraph" w:customStyle="1" w:styleId="SSG">
    <w:name w:val="__S_S_G"/>
    <w:basedOn w:val="Normal"/>
    <w:next w:val="Normal"/>
    <w:rsid w:val="00C213A4"/>
    <w:pPr>
      <w:keepNext/>
      <w:keepLines/>
      <w:spacing w:before="240" w:after="240" w:line="300" w:lineRule="exact"/>
      <w:ind w:left="1134" w:right="1134"/>
    </w:pPr>
    <w:rPr>
      <w:b/>
      <w:sz w:val="28"/>
    </w:rPr>
  </w:style>
  <w:style w:type="paragraph" w:styleId="FootnoteText">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ootnote Text1 Cha"/>
    <w:basedOn w:val="Normal"/>
    <w:link w:val="FootnoteTextChar"/>
    <w:qFormat/>
    <w:rsid w:val="00C213A4"/>
    <w:pPr>
      <w:tabs>
        <w:tab w:val="right" w:pos="1021"/>
      </w:tabs>
      <w:spacing w:line="220" w:lineRule="exact"/>
      <w:ind w:left="1134" w:right="1134" w:hanging="1134"/>
    </w:pPr>
    <w:rPr>
      <w:sz w:val="18"/>
    </w:rPr>
  </w:style>
  <w:style w:type="paragraph" w:styleId="EndnoteText">
    <w:name w:val="endnote text"/>
    <w:aliases w:val="2_G"/>
    <w:basedOn w:val="FootnoteText"/>
    <w:qFormat/>
    <w:rsid w:val="00C213A4"/>
  </w:style>
  <w:style w:type="character" w:styleId="PageNumber">
    <w:name w:val="page number"/>
    <w:aliases w:val="7_G"/>
    <w:basedOn w:val="DefaultParagraphFont"/>
    <w:qFormat/>
    <w:rsid w:val="00C213A4"/>
    <w:rPr>
      <w:rFonts w:ascii="Times New Roman" w:hAnsi="Times New Roman"/>
      <w:b/>
      <w:sz w:val="18"/>
    </w:rPr>
  </w:style>
  <w:style w:type="paragraph" w:customStyle="1" w:styleId="XLargeG">
    <w:name w:val="__XLarge_G"/>
    <w:basedOn w:val="Normal"/>
    <w:next w:val="Normal"/>
    <w:rsid w:val="00C213A4"/>
    <w:pPr>
      <w:keepNext/>
      <w:keepLines/>
      <w:spacing w:before="240" w:after="240" w:line="420" w:lineRule="exact"/>
      <w:ind w:left="1134" w:right="1134"/>
    </w:pPr>
    <w:rPr>
      <w:b/>
      <w:sz w:val="40"/>
    </w:rPr>
  </w:style>
  <w:style w:type="paragraph" w:customStyle="1" w:styleId="Bullet1G">
    <w:name w:val="_Bullet 1_G"/>
    <w:basedOn w:val="Normal"/>
    <w:qFormat/>
    <w:rsid w:val="00C213A4"/>
    <w:pPr>
      <w:numPr>
        <w:numId w:val="1"/>
      </w:numPr>
      <w:spacing w:after="120"/>
      <w:ind w:right="1134"/>
      <w:jc w:val="both"/>
    </w:pPr>
  </w:style>
  <w:style w:type="paragraph" w:styleId="Footer">
    <w:name w:val="footer"/>
    <w:aliases w:val="3_G"/>
    <w:basedOn w:val="Normal"/>
    <w:qFormat/>
    <w:rsid w:val="00C213A4"/>
    <w:pPr>
      <w:spacing w:line="240" w:lineRule="auto"/>
    </w:pPr>
    <w:rPr>
      <w:sz w:val="16"/>
    </w:rPr>
  </w:style>
  <w:style w:type="paragraph" w:customStyle="1" w:styleId="Bullet2G">
    <w:name w:val="_Bullet 2_G"/>
    <w:basedOn w:val="Normal"/>
    <w:qFormat/>
    <w:rsid w:val="00C213A4"/>
    <w:pPr>
      <w:numPr>
        <w:numId w:val="2"/>
      </w:numPr>
      <w:spacing w:after="120"/>
      <w:ind w:right="1134"/>
      <w:jc w:val="both"/>
    </w:pPr>
  </w:style>
  <w:style w:type="paragraph" w:customStyle="1" w:styleId="H1G">
    <w:name w:val="_ H_1_G"/>
    <w:basedOn w:val="Normal"/>
    <w:next w:val="Normal"/>
    <w:uiPriority w:val="99"/>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213A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B8046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8046C"/>
    <w:rPr>
      <w:rFonts w:ascii="Tahoma" w:hAnsi="Tahoma" w:cs="Tahoma"/>
      <w:sz w:val="16"/>
      <w:szCs w:val="16"/>
      <w:lang w:val="en-GB" w:eastAsia="en-US"/>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character" w:customStyle="1" w:styleId="FootnoteTextChar">
    <w:name w:val="Footnote Text Char"/>
    <w:aliases w:val="5_G Char,single space Char,Char Char Char Char,Footnote Text Char Char Char,Char Char,f Char,Текст сноски Знак1 Знак Знак Char,Текст сноски Знак1 Знак Char,ft Char,Geneva 9 Char,Font: Geneva 9 Char,Boston 10 Char"/>
    <w:basedOn w:val="DefaultParagraphFont"/>
    <w:link w:val="FootnoteText"/>
    <w:rsid w:val="006A57C5"/>
    <w:rPr>
      <w:sz w:val="18"/>
      <w:lang w:val="en-GB" w:eastAsia="en-US"/>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Normal"/>
    <w:link w:val="FootnoteReference"/>
    <w:uiPriority w:val="99"/>
    <w:rsid w:val="006A57C5"/>
    <w:pPr>
      <w:suppressAutoHyphens w:val="0"/>
      <w:spacing w:after="160" w:line="240" w:lineRule="exact"/>
    </w:pPr>
    <w:rPr>
      <w:sz w:val="18"/>
      <w:vertAlign w:val="superscript"/>
      <w:lang w:val="fr-FR" w:eastAsia="fr-FR"/>
    </w:rPr>
  </w:style>
  <w:style w:type="character" w:customStyle="1" w:styleId="SingleTxtGChar">
    <w:name w:val="_ Single Txt_G Char"/>
    <w:basedOn w:val="DefaultParagraphFont"/>
    <w:link w:val="SingleTxtG"/>
    <w:rsid w:val="006A57C5"/>
    <w:rPr>
      <w:lang w:val="en-GB" w:eastAsia="en-US"/>
    </w:rPr>
  </w:style>
  <w:style w:type="character" w:customStyle="1" w:styleId="Standa">
    <w:name w:val="Standa"/>
    <w:uiPriority w:val="99"/>
    <w:rsid w:val="00F77C10"/>
    <w:rPr>
      <w:rFonts w:ascii="Times New Roman" w:eastAsia="Malgun Gothic" w:hAnsi="Times New Roman"/>
      <w:color w:val="auto"/>
      <w:spacing w:val="0"/>
      <w:w w:val="100"/>
      <w:kern w:val="0"/>
      <w:position w:val="0"/>
      <w:sz w:val="24"/>
      <w:u w:val="none"/>
      <w:effect w:val="none"/>
      <w:shd w:val="clear" w:color="auto" w:fill="auto"/>
      <w:vertAlign w:val="baseline"/>
      <w:em w:val="none"/>
      <w:lang w:val="de-DE" w:eastAsia="de-DE"/>
    </w:rPr>
  </w:style>
  <w:style w:type="paragraph" w:styleId="ListParagraph">
    <w:name w:val="List Paragraph"/>
    <w:basedOn w:val="Normal"/>
    <w:uiPriority w:val="34"/>
    <w:qFormat/>
    <w:rsid w:val="00F77C10"/>
    <w:pPr>
      <w:ind w:leftChars="400" w:left="800"/>
    </w:pPr>
    <w:rPr>
      <w:rFonts w:eastAsia="Malgun Gothic"/>
    </w:rPr>
  </w:style>
  <w:style w:type="character" w:styleId="CommentReference">
    <w:name w:val="annotation reference"/>
    <w:uiPriority w:val="99"/>
    <w:semiHidden/>
    <w:rsid w:val="00F77C10"/>
    <w:rPr>
      <w:rFonts w:ascii="Times New Roman" w:eastAsia="Malgun Gothic" w:hAnsi="Times New Roman" w:cs="Times New Roman"/>
      <w:color w:val="auto"/>
      <w:spacing w:val="0"/>
      <w:w w:val="100"/>
      <w:kern w:val="0"/>
      <w:position w:val="0"/>
      <w:sz w:val="24"/>
      <w:szCs w:val="24"/>
      <w:u w:val="none"/>
      <w:effect w:val="none"/>
      <w:shd w:val="clear" w:color="auto" w:fill="auto"/>
      <w:vertAlign w:val="baseline"/>
      <w:em w:val="none"/>
      <w:lang w:val="de-DE" w:eastAsia="de-DE"/>
    </w:rPr>
  </w:style>
  <w:style w:type="paragraph" w:styleId="CommentText">
    <w:name w:val="annotation text"/>
    <w:basedOn w:val="Normal"/>
    <w:link w:val="CommentTextChar"/>
    <w:uiPriority w:val="99"/>
    <w:semiHidden/>
    <w:rsid w:val="00F77C10"/>
    <w:rPr>
      <w:rFonts w:eastAsia="Malgun Gothic"/>
    </w:rPr>
  </w:style>
  <w:style w:type="character" w:customStyle="1" w:styleId="CommentTextChar">
    <w:name w:val="Comment Text Char"/>
    <w:basedOn w:val="DefaultParagraphFont"/>
    <w:link w:val="CommentText"/>
    <w:uiPriority w:val="99"/>
    <w:semiHidden/>
    <w:rsid w:val="00F77C10"/>
    <w:rPr>
      <w:rFonts w:eastAsia="Malgun Gothic"/>
      <w:lang w:val="en-GB" w:eastAsia="en-US"/>
    </w:rPr>
  </w:style>
  <w:style w:type="paragraph" w:customStyle="1" w:styleId="a">
    <w:name w:val="바탕글"/>
    <w:uiPriority w:val="99"/>
    <w:rsid w:val="00F77C10"/>
    <w:pPr>
      <w:widowControl w:val="0"/>
      <w:wordWrap w:val="0"/>
      <w:autoSpaceDE w:val="0"/>
      <w:autoSpaceDN w:val="0"/>
      <w:spacing w:line="384" w:lineRule="auto"/>
      <w:jc w:val="both"/>
      <w:textAlignment w:val="baseline"/>
    </w:pPr>
    <w:rPr>
      <w:rFonts w:ascii="Gulim" w:eastAsia="Gulim" w:hAnsi="Gulim" w:cs="Gulim"/>
      <w:color w:val="000000"/>
      <w:lang w:val="en-US" w:eastAsia="ko-KR"/>
    </w:rPr>
  </w:style>
  <w:style w:type="paragraph" w:styleId="BodyText">
    <w:name w:val="Body Text"/>
    <w:basedOn w:val="Normal"/>
    <w:link w:val="BodyTextChar"/>
    <w:uiPriority w:val="1"/>
    <w:qFormat/>
    <w:rsid w:val="00F77C10"/>
    <w:pPr>
      <w:widowControl w:val="0"/>
      <w:suppressAutoHyphens w:val="0"/>
      <w:spacing w:before="121" w:line="240" w:lineRule="auto"/>
      <w:ind w:left="1286"/>
      <w:jc w:val="both"/>
    </w:pPr>
    <w:rPr>
      <w:lang w:val="en-US"/>
    </w:rPr>
  </w:style>
  <w:style w:type="character" w:customStyle="1" w:styleId="BodyTextChar">
    <w:name w:val="Body Text Char"/>
    <w:basedOn w:val="DefaultParagraphFont"/>
    <w:link w:val="BodyText"/>
    <w:uiPriority w:val="1"/>
    <w:rsid w:val="00F77C10"/>
    <w:rPr>
      <w:lang w:val="en-US" w:eastAsia="en-US"/>
    </w:rPr>
  </w:style>
  <w:style w:type="paragraph" w:customStyle="1" w:styleId="m-7736222763493113479msolistparagraph">
    <w:name w:val="m_-7736222763493113479msolistparagraph"/>
    <w:basedOn w:val="Normal"/>
    <w:rsid w:val="00F77C10"/>
    <w:pPr>
      <w:suppressAutoHyphens w:val="0"/>
      <w:spacing w:before="100" w:beforeAutospacing="1" w:after="100" w:afterAutospacing="1" w:line="240" w:lineRule="auto"/>
    </w:pPr>
    <w:rPr>
      <w:rFonts w:ascii="Gulim" w:eastAsia="Gulim" w:hAnsi="Gulim" w:cs="Gulim"/>
      <w:sz w:val="24"/>
      <w:szCs w:val="24"/>
      <w:lang w:val="en-US" w:eastAsia="ko-KR"/>
    </w:rPr>
  </w:style>
  <w:style w:type="character" w:customStyle="1" w:styleId="Heading3Char">
    <w:name w:val="Heading 3 Char"/>
    <w:link w:val="Heading3"/>
    <w:uiPriority w:val="1"/>
    <w:rsid w:val="00F77C10"/>
    <w:rPr>
      <w:lang w:val="en-GB" w:eastAsia="en-US"/>
    </w:rPr>
  </w:style>
  <w:style w:type="character" w:customStyle="1" w:styleId="Heading2Char">
    <w:name w:val="Heading 2 Char"/>
    <w:link w:val="Heading2"/>
    <w:uiPriority w:val="9"/>
    <w:semiHidden/>
    <w:rsid w:val="00F77C10"/>
    <w:rPr>
      <w:lang w:val="en-GB" w:eastAsia="en-US"/>
    </w:rPr>
  </w:style>
  <w:style w:type="paragraph" w:styleId="CommentSubject">
    <w:name w:val="annotation subject"/>
    <w:basedOn w:val="CommentText"/>
    <w:next w:val="CommentText"/>
    <w:link w:val="CommentSubjectChar"/>
    <w:semiHidden/>
    <w:unhideWhenUsed/>
    <w:rsid w:val="004A18D6"/>
    <w:pPr>
      <w:spacing w:line="240" w:lineRule="auto"/>
    </w:pPr>
    <w:rPr>
      <w:rFonts w:eastAsia="Times New Roman"/>
      <w:b/>
      <w:bCs/>
    </w:rPr>
  </w:style>
  <w:style w:type="character" w:customStyle="1" w:styleId="CommentSubjectChar">
    <w:name w:val="Comment Subject Char"/>
    <w:basedOn w:val="CommentTextChar"/>
    <w:link w:val="CommentSubject"/>
    <w:semiHidden/>
    <w:rsid w:val="004A18D6"/>
    <w:rPr>
      <w:rFonts w:eastAsia="Malgun Gothic"/>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31922">
      <w:bodyDiv w:val="1"/>
      <w:marLeft w:val="0"/>
      <w:marRight w:val="0"/>
      <w:marTop w:val="0"/>
      <w:marBottom w:val="0"/>
      <w:divBdr>
        <w:top w:val="none" w:sz="0" w:space="0" w:color="auto"/>
        <w:left w:val="none" w:sz="0" w:space="0" w:color="auto"/>
        <w:bottom w:val="none" w:sz="0" w:space="0" w:color="auto"/>
        <w:right w:val="none" w:sz="0" w:space="0" w:color="auto"/>
      </w:divBdr>
    </w:div>
    <w:div w:id="140195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RPD\CRPD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59CEE-F0C0-430A-B338-F0810F9C0ACC}"/>
</file>

<file path=customXml/itemProps2.xml><?xml version="1.0" encoding="utf-8"?>
<ds:datastoreItem xmlns:ds="http://schemas.openxmlformats.org/officeDocument/2006/customXml" ds:itemID="{0D8FAEE1-F5BD-48B5-8034-CF79C405C032}"/>
</file>

<file path=customXml/itemProps3.xml><?xml version="1.0" encoding="utf-8"?>
<ds:datastoreItem xmlns:ds="http://schemas.openxmlformats.org/officeDocument/2006/customXml" ds:itemID="{1B382E24-1E6B-49AD-8DCD-DB9164F0106F}"/>
</file>

<file path=docProps/app.xml><?xml version="1.0" encoding="utf-8"?>
<Properties xmlns="http://schemas.openxmlformats.org/officeDocument/2006/extended-properties" xmlns:vt="http://schemas.openxmlformats.org/officeDocument/2006/docPropsVTypes">
  <Template>CRPD_E.dotm</Template>
  <TotalTime>3</TotalTime>
  <Pages>9</Pages>
  <Words>4435</Words>
  <Characters>25283</Characters>
  <Application>Microsoft Office Word</Application>
  <DocSecurity>0</DocSecurity>
  <Lines>210</Lines>
  <Paragraphs>59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1802735</vt:lpstr>
      <vt:lpstr>CRPD/C/NPL/CO/R.1</vt:lpstr>
      <vt:lpstr>United Nations</vt:lpstr>
    </vt:vector>
  </TitlesOfParts>
  <Company>CSD</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1802735</dc:title>
  <dc:subject>CRPD/C/NPL/CO/R.1</dc:subject>
  <dc:creator>Céline Reynaud</dc:creator>
  <cp:keywords/>
  <dc:description/>
  <cp:lastModifiedBy>Céline Reynaud</cp:lastModifiedBy>
  <cp:revision>5</cp:revision>
  <cp:lastPrinted>2018-02-22T10:08:00Z</cp:lastPrinted>
  <dcterms:created xsi:type="dcterms:W3CDTF">2018-03-05T11:10:00Z</dcterms:created>
  <dcterms:modified xsi:type="dcterms:W3CDTF">2018-03-05T11:15:00Z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